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Fonts w:ascii="Nunito Sans Light" w:hAnsi="Nunito Sans Light"/>
          <w:b/>
          <w:bCs/>
          <w:sz w:val="32"/>
          <w:szCs w:val="32"/>
        </w:rPr>
        <w:drawing>
          <wp:anchor behindDoc="0" distT="0" distB="0" distL="0" distR="0" simplePos="0" locked="0" layoutInCell="0" allowOverlap="1" relativeHeight="2">
            <wp:simplePos x="0" y="0"/>
            <wp:positionH relativeFrom="column">
              <wp:posOffset>1889760</wp:posOffset>
            </wp:positionH>
            <wp:positionV relativeFrom="paragraph">
              <wp:posOffset>-360680</wp:posOffset>
            </wp:positionV>
            <wp:extent cx="1619885" cy="73596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619885" cy="735965"/>
                    </a:xfrm>
                    <a:prstGeom prst="rect">
                      <a:avLst/>
                    </a:prstGeom>
                  </pic:spPr>
                </pic:pic>
              </a:graphicData>
            </a:graphic>
          </wp:anchor>
        </w:drawing>
        <w:t xml:space="preserve">     </w:t>
      </w:r>
      <w:r>
        <w:drawing>
          <wp:anchor behindDoc="0" distT="0" distB="0" distL="0" distR="0" simplePos="0" locked="0" layoutInCell="0" allowOverlap="1" relativeHeight="3">
            <wp:simplePos x="0" y="0"/>
            <wp:positionH relativeFrom="column">
              <wp:posOffset>6123940</wp:posOffset>
            </wp:positionH>
            <wp:positionV relativeFrom="paragraph">
              <wp:posOffset>-578485</wp:posOffset>
            </wp:positionV>
            <wp:extent cx="1977390" cy="1568450"/>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977390" cy="1568450"/>
                    </a:xfrm>
                    <a:prstGeom prst="rect">
                      <a:avLst/>
                    </a:prstGeom>
                  </pic:spPr>
                </pic:pic>
              </a:graphicData>
            </a:graphic>
          </wp:anchor>
        </w:drawing>
      </w:r>
      <w:r>
        <w:rPr>
          <w:rFonts w:ascii="Nunito Sans Light" w:hAnsi="Nunito Sans Light"/>
          <w:b/>
          <w:bCs/>
          <w:sz w:val="32"/>
          <w:szCs w:val="32"/>
        </w:rPr>
        <w:t>Outdoor Learning</w:t>
      </w:r>
    </w:p>
    <w:p>
      <w:pPr>
        <w:pStyle w:val="Normal"/>
        <w:bidi w:val="0"/>
        <w:jc w:val="start"/>
        <w:rPr/>
      </w:pPr>
      <w:r>
        <w:rPr>
          <w:rFonts w:ascii="Nunito Sans Light" w:hAnsi="Nunito Sans Light"/>
          <w:b/>
          <w:bCs/>
          <w:sz w:val="32"/>
          <w:szCs w:val="32"/>
        </w:rPr>
        <w:t xml:space="preserve">    </w:t>
      </w:r>
      <w:r>
        <w:rPr>
          <w:rFonts w:ascii="Nunito Sans Light" w:hAnsi="Nunito Sans Light"/>
          <w:b/>
          <w:bCs/>
          <w:sz w:val="28"/>
          <w:szCs w:val="28"/>
        </w:rPr>
        <w:t xml:space="preserve">Little Red Riding Hood  </w:t>
      </w:r>
    </w:p>
    <w:p>
      <w:pPr>
        <w:pStyle w:val="Normal"/>
        <w:bidi w:val="0"/>
        <w:jc w:val="start"/>
        <w:rPr/>
      </w:pPr>
      <w:r>
        <w:rPr>
          <w:rFonts w:ascii="Nunito Sans Light" w:hAnsi="Nunito Sans Light"/>
          <w:b/>
          <w:bCs/>
          <w:sz w:val="28"/>
          <w:szCs w:val="28"/>
        </w:rPr>
        <w:tab/>
        <w:tab/>
        <w:tab/>
        <w:tab/>
        <w:tab/>
        <w:tab/>
        <w:tab/>
        <w:tab/>
        <w:t xml:space="preserve">    Early Years/Reception</w:t>
      </w:r>
    </w:p>
    <w:p>
      <w:pPr>
        <w:pStyle w:val="Normal"/>
        <w:bidi w:val="0"/>
        <w:jc w:val="start"/>
        <w:rPr>
          <w:rFonts w:ascii="Nunito Sans Light" w:hAnsi="Nunito Sans Light"/>
          <w:b/>
          <w:bCs/>
          <w:sz w:val="28"/>
          <w:szCs w:val="28"/>
        </w:rPr>
      </w:pPr>
      <w:r>
        <w:rPr>
          <w:rFonts w:ascii="Nunito Sans Light" w:hAnsi="Nunito Sans Light"/>
          <w:b/>
          <w:bCs/>
          <w:sz w:val="28"/>
          <w:szCs w:val="28"/>
        </w:rPr>
      </w:r>
    </w:p>
    <w:p>
      <w:pPr>
        <w:pStyle w:val="Normal"/>
        <w:bidi w:val="0"/>
        <w:jc w:val="start"/>
        <w:rPr>
          <w:sz w:val="24"/>
          <w:szCs w:val="24"/>
        </w:rPr>
      </w:pPr>
      <w:r>
        <w:rPr>
          <w:sz w:val="24"/>
          <w:szCs w:val="24"/>
        </w:rPr>
      </w:r>
    </w:p>
    <w:p>
      <w:pPr>
        <w:pStyle w:val="Normal"/>
        <w:bidi w:val="0"/>
        <w:jc w:val="start"/>
        <w:rPr>
          <w:sz w:val="24"/>
          <w:szCs w:val="24"/>
        </w:rPr>
      </w:pPr>
      <w:r>
        <w:rPr>
          <w:rFonts w:ascii="Nunito Sans Light" w:hAnsi="Nunito Sans Light"/>
          <w:b/>
          <w:bCs/>
          <w:sz w:val="24"/>
          <w:szCs w:val="24"/>
        </w:rPr>
        <w:t xml:space="preserve">The EYFS framework encourages Outdoor Learning to enhance children’s learning experiences. Promoting physical activity, emotional well-being and practical skills through interesting hands-on activities in natural settings. </w:t>
      </w:r>
    </w:p>
    <w:tbl>
      <w:tblPr>
        <w:tblW w:w="5000" w:type="pct"/>
        <w:jc w:val="start"/>
        <w:tblInd w:w="-5" w:type="dxa"/>
        <w:tblLayout w:type="fixed"/>
        <w:tblCellMar>
          <w:top w:w="55" w:type="dxa"/>
          <w:start w:w="55" w:type="dxa"/>
          <w:bottom w:w="55" w:type="dxa"/>
          <w:end w:w="55" w:type="dxa"/>
        </w:tblCellMar>
      </w:tblPr>
      <w:tblGrid>
        <w:gridCol w:w="3164"/>
        <w:gridCol w:w="11405"/>
      </w:tblGrid>
      <w:tr>
        <w:trPr/>
        <w:tc>
          <w:tcPr>
            <w:tcW w:w="3164" w:type="dxa"/>
            <w:tcBorders>
              <w:top w:val="single" w:sz="4" w:space="0" w:color="000000"/>
              <w:start w:val="single" w:sz="4" w:space="0" w:color="000000"/>
              <w:bottom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0"/>
                <w:szCs w:val="20"/>
                <w:u w:val="none"/>
              </w:rPr>
            </w:pPr>
            <w:r>
              <w:rPr>
                <w:rFonts w:ascii="Nunito Sans Light" w:hAnsi="Nunito Sans Light"/>
                <w:b w:val="false"/>
                <w:bCs w:val="false"/>
                <w:i w:val="false"/>
                <w:iCs w:val="false"/>
                <w:strike w:val="false"/>
                <w:dstrike w:val="false"/>
                <w:outline w:val="false"/>
                <w:shadow w:val="false"/>
                <w:color w:val="000000"/>
                <w:sz w:val="20"/>
                <w:szCs w:val="20"/>
                <w:u w:val="none"/>
              </w:rPr>
              <w:t>Learning Objectives</w:t>
            </w:r>
          </w:p>
        </w:tc>
        <w:tc>
          <w:tcPr>
            <w:tcW w:w="11405"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0"/>
                <w:szCs w:val="20"/>
                <w:u w:val="none"/>
              </w:rPr>
            </w:pPr>
            <w:r>
              <w:rPr>
                <w:rFonts w:ascii="Nunito Sans Light" w:hAnsi="Nunito Sans Light"/>
                <w:b w:val="false"/>
                <w:bCs w:val="false"/>
                <w:i w:val="false"/>
                <w:iCs w:val="false"/>
                <w:strike w:val="false"/>
                <w:dstrike w:val="false"/>
                <w:outline w:val="false"/>
                <w:shadow w:val="false"/>
                <w:color w:val="000000"/>
                <w:sz w:val="20"/>
                <w:szCs w:val="20"/>
                <w:u w:val="none"/>
              </w:rPr>
              <w:t>Session structure</w:t>
            </w:r>
          </w:p>
        </w:tc>
      </w:tr>
      <w:tr>
        <w:trPr/>
        <w:tc>
          <w:tcPr>
            <w:tcW w:w="3164" w:type="dxa"/>
            <w:tcBorders>
              <w:start w:val="single" w:sz="4" w:space="0" w:color="000000"/>
              <w:bottom w:val="single" w:sz="4" w:space="0" w:color="000000"/>
            </w:tcBorders>
          </w:tcPr>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explore new places, using a special story map to orienteer around the site</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develop understanding of ‘stranger danger’</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develop strength and coordination during physical challenges. Negotiating space and obstacles safely.</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1"/>
                <w:szCs w:val="21"/>
                <w:u w:val="none"/>
              </w:rPr>
            </w:pPr>
            <w:r>
              <w:rPr>
                <w:rFonts w:ascii="Nunito Sans Light" w:hAnsi="Nunito Sans Light"/>
                <w:b w:val="false"/>
                <w:bCs w:val="false"/>
                <w:i w:val="false"/>
                <w:iCs w:val="false"/>
                <w:strike w:val="false"/>
                <w:dstrike w:val="false"/>
                <w:outline w:val="false"/>
                <w:shadow w:val="false"/>
                <w:color w:val="000000"/>
                <w:sz w:val="21"/>
                <w:szCs w:val="21"/>
                <w:u w:val="none"/>
              </w:rPr>
              <w:t>To have the chance to work and play cooperatively, taking turns with others.</w:t>
            </w:r>
          </w:p>
        </w:tc>
        <w:tc>
          <w:tcPr>
            <w:tcW w:w="11405" w:type="dxa"/>
            <w:tcBorders>
              <w:start w:val="single" w:sz="4" w:space="0" w:color="000000"/>
              <w:bottom w:val="single" w:sz="4" w:space="0" w:color="000000"/>
              <w:end w:val="single" w:sz="4" w:space="0" w:color="000000"/>
            </w:tcBorders>
          </w:tcPr>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Introduction</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Quick chat about the site, what we are going to be doing, then read the story all seated in the garden area.</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 xml:space="preserve">Orienteering </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Following a map, wander through the woods, looking out for the wolf on the way to Grandma’s house. Discuss stranger danger in age appropriate manner. Collect hidden apples along the way.</w:t>
            </w:r>
            <w:r>
              <w:rPr>
                <w:rFonts w:ascii="Nunito Sans Light" w:hAnsi="Nunito Sans Light"/>
                <w:b/>
                <w:bCs/>
                <w:i w:val="false"/>
                <w:iCs w:val="false"/>
                <w:strike w:val="false"/>
                <w:dstrike w:val="false"/>
                <w:outline w:val="false"/>
                <w:shadow w:val="false"/>
                <w:color w:val="000000"/>
                <w:sz w:val="24"/>
                <w:szCs w:val="24"/>
                <w:u w:val="none"/>
              </w:rPr>
              <w:t xml:space="preserve"> </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Tomahawk Throwing</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 xml:space="preserve">Grab your safety axe, just like Red Riding Hood’s father the Woodcutter. Take aim at the target, and go for the bullseye. A fun safe activity to practice </w:t>
            </w:r>
          </w:p>
          <w:p>
            <w:pPr>
              <w:pStyle w:val="TableContents"/>
              <w:bidi w:val="0"/>
              <w:jc w:val="start"/>
              <w:rPr>
                <w:rFonts w:ascii="Nunito Sans Light" w:hAnsi="Nunito Sans Light"/>
                <w:b/>
                <w:bCs/>
                <w:i w:val="false"/>
                <w:i w:val="false"/>
                <w:iCs w:val="false"/>
                <w:strike w:val="false"/>
                <w:dstrike w:val="false"/>
                <w:outline w:val="false"/>
                <w:shadow w:val="false"/>
                <w:color w:val="000000"/>
                <w:sz w:val="24"/>
                <w:szCs w:val="24"/>
                <w:u w:val="none"/>
              </w:rPr>
            </w:pPr>
            <w:r>
              <w:rPr>
                <w:rFonts w:ascii="Nunito Sans Light" w:hAnsi="Nunito Sans Light"/>
                <w:b/>
                <w:bCs/>
                <w:i w:val="false"/>
                <w:iCs w:val="false"/>
                <w:strike w:val="false"/>
                <w:dstrike w:val="false"/>
                <w:outline w:val="false"/>
                <w:shadow w:val="false"/>
                <w:color w:val="000000"/>
                <w:sz w:val="24"/>
                <w:szCs w:val="24"/>
                <w:u w:val="none"/>
              </w:rPr>
              <w:t>Finishing game</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t xml:space="preserve">A fun game of What Time is it Mr Wolf to finish. </w:t>
            </w:r>
          </w:p>
          <w:p>
            <w:pPr>
              <w:pStyle w:val="TableContents"/>
              <w:bidi w:val="0"/>
              <w:jc w:val="start"/>
              <w:rPr>
                <w:rFonts w:ascii="Nunito Sans Light" w:hAnsi="Nunito Sans Light"/>
                <w:b w:val="false"/>
                <w:bCs w:val="false"/>
                <w:i w:val="false"/>
                <w:i w:val="false"/>
                <w:iCs w:val="false"/>
                <w:strike w:val="false"/>
                <w:dstrike w:val="false"/>
                <w:outline w:val="false"/>
                <w:shadow w:val="false"/>
                <w:color w:val="000000"/>
                <w:sz w:val="24"/>
                <w:szCs w:val="24"/>
                <w:u w:val="none"/>
              </w:rPr>
            </w:pPr>
            <w:r>
              <w:rPr>
                <w:rFonts w:ascii="Nunito Sans Light" w:hAnsi="Nunito Sans Light"/>
                <w:b w:val="false"/>
                <w:bCs w:val="false"/>
                <w:i w:val="false"/>
                <w:iCs w:val="false"/>
                <w:strike w:val="false"/>
                <w:dstrike w:val="false"/>
                <w:outline w:val="false"/>
                <w:shadow w:val="false"/>
                <w:color w:val="000000"/>
                <w:sz w:val="24"/>
                <w:szCs w:val="24"/>
                <w:u w:val="none"/>
              </w:rPr>
            </w:r>
          </w:p>
        </w:tc>
      </w:tr>
    </w:tbl>
    <w:p>
      <w:pPr>
        <w:pStyle w:val="Normal"/>
        <w:bidi w:val="0"/>
        <w:jc w:val="start"/>
        <w:rPr>
          <w:rFonts w:ascii="Nunito Sans Light" w:hAnsi="Nunito Sans Light"/>
          <w:b/>
          <w:bCs/>
          <w:sz w:val="28"/>
          <w:szCs w:val="28"/>
        </w:rPr>
      </w:pPr>
      <w:r>
        <w:rPr>
          <w:rFonts w:ascii="Nunito Sans Light" w:hAnsi="Nunito Sans Light"/>
          <w:b/>
          <w:bCs/>
          <w:sz w:val="28"/>
          <w:szCs w:val="28"/>
        </w:rPr>
      </w:r>
    </w:p>
    <w:p>
      <w:pPr>
        <w:pStyle w:val="Normal"/>
        <w:bidi w:val="0"/>
        <w:jc w:val="start"/>
        <w:rPr>
          <w:b w:val="false"/>
          <w:bCs w:val="false"/>
          <w:sz w:val="24"/>
          <w:szCs w:val="24"/>
        </w:rPr>
      </w:pPr>
      <w:r>
        <w:rPr>
          <w:rFonts w:ascii="Nunito Sans Light" w:hAnsi="Nunito Sans Light"/>
          <w:b w:val="false"/>
          <w:bCs w:val="false"/>
          <w:sz w:val="24"/>
          <w:szCs w:val="24"/>
        </w:rPr>
        <w:t>We can develop a bespoke package for your visit on request. Altering activities, or introducing new ones.</w:t>
      </w:r>
    </w:p>
    <w:p>
      <w:pPr>
        <w:pStyle w:val="Normal"/>
        <w:bidi w:val="0"/>
        <w:jc w:val="start"/>
        <w:rPr>
          <w:b w:val="false"/>
          <w:bCs w:val="false"/>
          <w:sz w:val="24"/>
          <w:szCs w:val="24"/>
        </w:rPr>
      </w:pPr>
      <w:r>
        <w:rPr>
          <w:rFonts w:ascii="Nunito Sans Light" w:hAnsi="Nunito Sans Light"/>
          <w:b w:val="false"/>
          <w:bCs w:val="false"/>
          <w:sz w:val="24"/>
          <w:szCs w:val="24"/>
        </w:rPr>
        <w:t>If schools are travelling in mini-buses and so bring half a class at a time we can provide a fun, low ropes activity for the waiting groups.</w:t>
      </w:r>
    </w:p>
    <w:p>
      <w:pPr>
        <w:pStyle w:val="Normal"/>
        <w:bidi w:val="0"/>
        <w:jc w:val="start"/>
        <w:rPr>
          <w:b w:val="false"/>
          <w:bCs w:val="false"/>
          <w:sz w:val="24"/>
          <w:szCs w:val="24"/>
        </w:rPr>
      </w:pPr>
      <w:r>
        <w:rPr>
          <w:rFonts w:ascii="Nunito Sans Light" w:hAnsi="Nunito Sans Light"/>
          <w:b w:val="false"/>
          <w:bCs w:val="false"/>
          <w:sz w:val="24"/>
          <w:szCs w:val="24"/>
        </w:rPr>
        <w:t>Cost for a class visit is £6 per pupil, staff are free of charge.</w:t>
      </w:r>
    </w:p>
    <w:p>
      <w:pPr>
        <w:pStyle w:val="Normal"/>
        <w:bidi w:val="0"/>
        <w:jc w:val="start"/>
        <w:rPr>
          <w:rFonts w:ascii="Nunito Sans Light" w:hAnsi="Nunito Sans Light"/>
        </w:rPr>
      </w:pPr>
      <w:r>
        <w:rPr>
          <w:rFonts w:ascii="Nunito Sans Light" w:hAnsi="Nunito Sans Light"/>
          <w:b w:val="false"/>
          <w:bCs w:val="false"/>
          <w:sz w:val="24"/>
          <w:szCs w:val="24"/>
        </w:rPr>
        <w:t>Session is 10-12, with facilities for groups to stay and have own packed lunch. You are welcome to enjoy Squirrel Square our deisgnated Early years area, which has mud kitchen, mini climbing wall, willow tunnel and equipment for imaginative free play.</w:t>
      </w:r>
    </w:p>
    <w:sectPr>
      <w:type w:val="nextPage"/>
      <w:pgSz w:orient="landscape" w:w="16838" w:h="11906"/>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Nunito Sans Light">
    <w:charset w:val="00" w:characterSet="windows-1252"/>
    <w:family w:val="roman"/>
    <w:pitch w:val="variable"/>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3905</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2025-11-05T13:28:37Z</dcterms:created>
  <dc:creator/>
  <dc:description/>
  <dc:language>en-GB</dc:language>
  <cp:lastModifiedBy/>
  <cp:lastPrinted>2025-11-25T14:52:32Z</cp:lastPrinted>
  <dcterms:modified xsi:type="dcterms:W3CDTF">2025-11-25T14:52:39Z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