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15030" w:type="dxa"/>
        <w:jc w:val="start"/>
        <w:tblInd w:w="-5" w:type="dxa"/>
        <w:tblLayout w:type="fixed"/>
        <w:tblCellMar>
          <w:top w:w="55" w:type="dxa"/>
          <w:start w:w="55" w:type="dxa"/>
          <w:bottom w:w="55" w:type="dxa"/>
          <w:end w:w="55" w:type="dxa"/>
        </w:tblCellMar>
      </w:tblPr>
      <w:tblGrid>
        <w:gridCol w:w="1869"/>
        <w:gridCol w:w="4260"/>
        <w:gridCol w:w="3341"/>
        <w:gridCol w:w="1760"/>
        <w:gridCol w:w="1700"/>
        <w:gridCol w:w="209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Annexe</w:t>
            </w:r>
            <w:r>
              <w:rPr>
                <w:rFonts w:ascii="Nunito Sans" w:hAnsi="Nunito Sans"/>
                <w:b/>
                <w:bCs w:val="false"/>
                <w:sz w:val="20"/>
                <w:szCs w:val="20"/>
              </w:rPr>
              <w:t xml:space="preserv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11/05/2026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01/05/2027</w:t>
            </w:r>
          </w:p>
        </w:tc>
        <w:tc>
          <w:tcPr>
            <w:tcW w:w="170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209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rFonts w:ascii="Nunito Sans" w:hAnsi="Nunito Sans"/>
                <w:b w:val="false"/>
                <w:bCs w:val="false"/>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14560" w:type="dxa"/>
        <w:jc w:val="start"/>
        <w:tblInd w:w="1" w:type="dxa"/>
        <w:tblLayout w:type="fixed"/>
        <w:tblCellMar>
          <w:top w:w="55" w:type="dxa"/>
          <w:start w:w="55" w:type="dxa"/>
          <w:bottom w:w="55" w:type="dxa"/>
          <w:end w:w="55" w:type="dxa"/>
        </w:tblCellMar>
      </w:tblPr>
      <w:tblGrid>
        <w:gridCol w:w="2150"/>
        <w:gridCol w:w="2210"/>
        <w:gridCol w:w="1470"/>
        <w:gridCol w:w="7770"/>
        <w:gridCol w:w="960"/>
      </w:tblGrid>
      <w:tr>
        <w:trPr/>
        <w:tc>
          <w:tcPr>
            <w:tcW w:w="215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77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60"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 xml:space="preserve">General risks, including </w:t>
            </w:r>
          </w:p>
          <w:p>
            <w:pPr>
              <w:pStyle w:val="Normal"/>
              <w:widowControl/>
              <w:rPr>
                <w:rFonts w:ascii="Nunito Sans" w:hAnsi="Nunito Sans"/>
                <w:sz w:val="16"/>
                <w:szCs w:val="16"/>
              </w:rPr>
            </w:pPr>
            <w:r>
              <w:rPr>
                <w:rFonts w:ascii="Nunito Sans" w:hAnsi="Nunito Sans"/>
                <w:sz w:val="16"/>
                <w:szCs w:val="16"/>
              </w:rPr>
              <w:t xml:space="preserve">furniture </w:t>
            </w:r>
          </w:p>
          <w:p>
            <w:pPr>
              <w:pStyle w:val="Normal"/>
              <w:widowControl/>
              <w:rPr>
                <w:rFonts w:ascii="Nunito Sans" w:hAnsi="Nunito Sans"/>
                <w:sz w:val="16"/>
                <w:szCs w:val="16"/>
              </w:rPr>
            </w:pPr>
            <w:r>
              <w:rPr>
                <w:rFonts w:ascii="Nunito Sans" w:hAnsi="Nunito Sans"/>
                <w:sz w:val="16"/>
                <w:szCs w:val="16"/>
              </w:rPr>
            </w:r>
          </w:p>
          <w:p>
            <w:pPr>
              <w:pStyle w:val="Normal"/>
              <w:widowControl/>
              <w:rPr>
                <w:rFonts w:ascii="Nunito Sans" w:hAnsi="Nunito Sans"/>
                <w:sz w:val="16"/>
                <w:szCs w:val="16"/>
              </w:rPr>
            </w:pPr>
            <w:r>
              <w:rPr>
                <w:rFonts w:ascii="Nunito Sans" w:hAnsi="Nunito Sans"/>
                <w:sz w:val="16"/>
                <w:szCs w:val="16"/>
              </w:rPr>
              <w:t>Falls from furniture</w:t>
            </w:r>
          </w:p>
          <w:p>
            <w:pPr>
              <w:pStyle w:val="Normal"/>
              <w:widowControl/>
              <w:rPr>
                <w:rFonts w:ascii="Nunito Sans" w:hAnsi="Nunito Sans"/>
                <w:sz w:val="16"/>
                <w:szCs w:val="16"/>
              </w:rPr>
            </w:pPr>
            <w:r>
              <w:rPr>
                <w:rFonts w:ascii="Nunito Sans" w:hAnsi="Nunito Sans"/>
                <w:sz w:val="16"/>
                <w:szCs w:val="16"/>
              </w:rPr>
            </w:r>
          </w:p>
          <w:p>
            <w:pPr>
              <w:pStyle w:val="Normal"/>
              <w:widowControl/>
              <w:rPr>
                <w:rFonts w:ascii="Nunito Sans" w:hAnsi="Nunito Sans"/>
                <w:sz w:val="16"/>
                <w:szCs w:val="16"/>
              </w:rPr>
            </w:pPr>
            <w:r>
              <w:rPr>
                <w:rFonts w:ascii="Nunito Sans" w:hAnsi="Nunito Sans"/>
                <w:sz w:val="16"/>
                <w:szCs w:val="16"/>
              </w:rPr>
              <w:t>Storage areas - injuries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7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rFonts w:ascii="Nunito Sans" w:hAnsi="Nunito Sans"/>
                <w:b w:val="false"/>
                <w:bCs w:val="false"/>
                <w:sz w:val="16"/>
                <w:szCs w:val="16"/>
              </w:rPr>
              <w:t>Stools should be stacked no more than 4 high to prevent tipping</w:t>
            </w:r>
          </w:p>
          <w:p>
            <w:pPr>
              <w:pStyle w:val="Normal"/>
              <w:widowControl/>
              <w:rPr>
                <w:rFonts w:ascii="Nunito Sans" w:hAnsi="Nunito Sans"/>
                <w:b w:val="false"/>
                <w:bCs w:val="false"/>
                <w:sz w:val="16"/>
                <w:szCs w:val="16"/>
              </w:rPr>
            </w:pPr>
            <w:r>
              <w:rPr>
                <w:rFonts w:ascii="Nunito Sans" w:hAnsi="Nunito Sans"/>
                <w:b w:val="false"/>
                <w:bCs w:val="false"/>
                <w:sz w:val="16"/>
                <w:szCs w:val="16"/>
              </w:rPr>
              <w:t>Tables to be stacked no more than 4 high to prevent tipping</w:t>
            </w:r>
          </w:p>
          <w:p>
            <w:pPr>
              <w:pStyle w:val="Normal"/>
              <w:widowControl/>
              <w:rPr>
                <w:rFonts w:ascii="Nunito Sans" w:hAnsi="Nunito Sans"/>
                <w:b w:val="false"/>
                <w:bCs w:val="false"/>
                <w:sz w:val="16"/>
                <w:szCs w:val="16"/>
              </w:rPr>
            </w:pPr>
            <w:r>
              <w:rPr>
                <w:rFonts w:ascii="Nunito Sans" w:hAnsi="Nunito Sans"/>
                <w:b w:val="false"/>
                <w:bCs w:val="false"/>
                <w:sz w:val="16"/>
                <w:szCs w:val="16"/>
              </w:rPr>
            </w:r>
          </w:p>
          <w:p>
            <w:pPr>
              <w:pStyle w:val="Normal"/>
              <w:widowControl/>
              <w:rPr>
                <w:rFonts w:ascii="Nunito Sans" w:hAnsi="Nunito Sans"/>
                <w:b w:val="false"/>
                <w:bCs w:val="false"/>
                <w:sz w:val="16"/>
                <w:szCs w:val="16"/>
              </w:rPr>
            </w:pPr>
            <w:r>
              <w:rPr>
                <w:rFonts w:ascii="Nunito Sans" w:hAnsi="Nunito Sans"/>
                <w:b w:val="false"/>
                <w:bCs w:val="false"/>
                <w:sz w:val="16"/>
                <w:szCs w:val="16"/>
              </w:rPr>
              <w:t>No climbing on stacked furniture or snooker table</w:t>
            </w:r>
          </w:p>
          <w:p>
            <w:pPr>
              <w:pStyle w:val="Normal"/>
              <w:widowControl/>
              <w:rPr>
                <w:rFonts w:ascii="Nunito Sans" w:hAnsi="Nunito Sans"/>
                <w:b w:val="false"/>
                <w:bCs w:val="false"/>
                <w:sz w:val="16"/>
                <w:szCs w:val="16"/>
              </w:rPr>
            </w:pPr>
            <w:r>
              <w:rPr>
                <w:rFonts w:ascii="Nunito Sans" w:hAnsi="Nunito Sans"/>
                <w:b w:val="false"/>
                <w:bCs w:val="false"/>
                <w:sz w:val="16"/>
                <w:szCs w:val="16"/>
              </w:rPr>
            </w:r>
          </w:p>
          <w:p>
            <w:pPr>
              <w:pStyle w:val="Normal"/>
              <w:widowControl/>
              <w:rPr>
                <w:rFonts w:ascii="Nunito Sans" w:hAnsi="Nunito Sans"/>
                <w:b w:val="false"/>
                <w:bCs w:val="false"/>
                <w:sz w:val="16"/>
                <w:szCs w:val="16"/>
              </w:rPr>
            </w:pPr>
            <w:r>
              <w:rPr>
                <w:rFonts w:ascii="Nunito Sans" w:hAnsi="Nunito Sans"/>
                <w:b w:val="false"/>
                <w:bCs w:val="false"/>
                <w:sz w:val="16"/>
                <w:szCs w:val="16"/>
              </w:rPr>
              <w:t>No young people to access storage areas without adult supervision</w:t>
            </w:r>
          </w:p>
          <w:p>
            <w:pPr>
              <w:pStyle w:val="Normal"/>
              <w:widowControl/>
              <w:rPr>
                <w:rFonts w:ascii="Nunito Sans" w:hAnsi="Nunito Sans"/>
                <w:b w:val="false"/>
                <w:bCs w:val="false"/>
                <w:sz w:val="16"/>
                <w:szCs w:val="16"/>
              </w:rPr>
            </w:pPr>
            <w:r>
              <w:rPr>
                <w:rFonts w:ascii="Nunito Sans" w:hAnsi="Nunito Sans"/>
                <w:b w:val="false"/>
                <w:bCs w:val="false"/>
                <w:sz w:val="16"/>
                <w:szCs w:val="16"/>
              </w:rPr>
              <w:t>Large ladders stored in rear of building MUST NOT be used under any circumstances.</w:t>
            </w:r>
          </w:p>
        </w:tc>
        <w:tc>
          <w:tcPr>
            <w:tcW w:w="96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Fire</w:t>
            </w:r>
          </w:p>
          <w:p>
            <w:pPr>
              <w:pStyle w:val="Normal"/>
              <w:widowControl/>
              <w:rPr>
                <w:rFonts w:ascii="Nunito Sans" w:hAnsi="Nunito Sans"/>
                <w:sz w:val="16"/>
                <w:szCs w:val="16"/>
              </w:rPr>
            </w:pPr>
            <w:r>
              <w:rPr>
                <w:rFonts w:ascii="Nunito Sans" w:hAnsi="Nunito Sans"/>
                <w:sz w:val="16"/>
                <w:szCs w:val="16"/>
              </w:rPr>
              <w:t>Burns and asphyxiation</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Automatic fire alarms installed; serviced and regularly checked</w:t>
            </w:r>
          </w:p>
          <w:p>
            <w:pPr>
              <w:pStyle w:val="Normal"/>
              <w:widowControl/>
              <w:rPr>
                <w:rFonts w:ascii="Nunito Sans" w:hAnsi="Nunito Sans"/>
                <w:sz w:val="16"/>
                <w:szCs w:val="16"/>
              </w:rPr>
            </w:pPr>
            <w:r>
              <w:rPr>
                <w:rFonts w:ascii="Nunito Sans" w:hAnsi="Nunito Sans"/>
                <w:b w:val="false"/>
                <w:bCs w:val="false"/>
                <w:i w:val="false"/>
                <w:iCs w:val="false"/>
                <w:sz w:val="16"/>
                <w:szCs w:val="16"/>
              </w:rPr>
              <w:t>Emergency lighting installed; serviced and regularly checked</w:t>
            </w:r>
          </w:p>
          <w:p>
            <w:pPr>
              <w:pStyle w:val="Normal"/>
              <w:widowControl/>
              <w:rPr>
                <w:rFonts w:ascii="Nunito Sans" w:hAnsi="Nunito Sans"/>
                <w:sz w:val="16"/>
                <w:szCs w:val="16"/>
              </w:rPr>
            </w:pPr>
            <w:r>
              <w:rPr>
                <w:rFonts w:ascii="Nunito Sans" w:hAnsi="Nunito Sans"/>
                <w:b w:val="false"/>
                <w:bCs w:val="false"/>
                <w:i w:val="false"/>
                <w:iCs w:val="false"/>
                <w:sz w:val="16"/>
                <w:szCs w:val="16"/>
              </w:rPr>
              <w:t>Emergency exits to be kept clear at all times- signage provided. Where security locks in place, these MUST be unlocked when in use. Building user to check on arrival &amp; appoint a Fire Marshal.</w:t>
            </w:r>
          </w:p>
          <w:p>
            <w:pPr>
              <w:pStyle w:val="Normal"/>
              <w:widowControl/>
              <w:rPr>
                <w:rFonts w:ascii="Nunito Sans" w:hAnsi="Nunito Sans"/>
                <w:sz w:val="16"/>
                <w:szCs w:val="16"/>
              </w:rPr>
            </w:pPr>
            <w:r>
              <w:rPr>
                <w:rFonts w:ascii="Nunito Sans" w:hAnsi="Nunito Sans"/>
                <w:b w:val="false"/>
                <w:bCs w:val="false"/>
                <w:i w:val="false"/>
                <w:iCs w:val="false"/>
                <w:sz w:val="16"/>
                <w:szCs w:val="16"/>
              </w:rPr>
              <w:t>Portable fire extinguishers provided; serviced and regularly checked</w:t>
            </w:r>
          </w:p>
          <w:p>
            <w:pPr>
              <w:pStyle w:val="Normal"/>
              <w:widowControl/>
              <w:rPr>
                <w:rFonts w:ascii="Nunito Sans" w:hAnsi="Nunito Sans"/>
                <w:sz w:val="16"/>
                <w:szCs w:val="16"/>
              </w:rPr>
            </w:pPr>
            <w:r>
              <w:rPr>
                <w:rFonts w:ascii="Nunito Sans" w:hAnsi="Nunito Sans"/>
                <w:b w:val="false"/>
                <w:bCs w:val="false"/>
                <w:i w:val="false"/>
                <w:iCs w:val="false"/>
                <w:sz w:val="16"/>
                <w:szCs w:val="16"/>
              </w:rPr>
              <w:t>All windows to be unlocked, shutters opened when building in use.</w:t>
            </w:r>
          </w:p>
          <w:p>
            <w:pPr>
              <w:pStyle w:val="Normal"/>
              <w:widowControl/>
              <w:rPr>
                <w:rFonts w:ascii="Nunito Sans" w:hAnsi="Nunito Sans"/>
                <w:sz w:val="16"/>
                <w:szCs w:val="16"/>
              </w:rPr>
            </w:pPr>
            <w:r>
              <w:rPr>
                <w:rFonts w:ascii="Nunito Sans" w:hAnsi="Nunito Sans"/>
                <w:b w:val="false"/>
                <w:bCs w:val="false"/>
                <w:i w:val="false"/>
                <w:iCs w:val="false"/>
                <w:sz w:val="16"/>
                <w:szCs w:val="16"/>
              </w:rPr>
              <w:t>Rubbish to be placed in bins provided and removed from the building regularly.</w:t>
            </w:r>
          </w:p>
          <w:p>
            <w:pPr>
              <w:pStyle w:val="Normal"/>
              <w:widowControl/>
              <w:rPr>
                <w:rFonts w:ascii="Nunito Sans" w:hAnsi="Nunito Sans"/>
                <w:sz w:val="16"/>
                <w:szCs w:val="16"/>
              </w:rPr>
            </w:pPr>
            <w:r>
              <w:rPr>
                <w:rFonts w:ascii="Nunito Sans" w:hAnsi="Nunito Sans"/>
                <w:b w:val="false"/>
                <w:bCs w:val="false"/>
                <w:i w:val="false"/>
                <w:iCs w:val="false"/>
                <w:sz w:val="16"/>
                <w:szCs w:val="16"/>
              </w:rPr>
              <w:t>Caution around electric heaters, due to surfaces getting hot</w:t>
            </w:r>
          </w:p>
        </w:tc>
        <w:tc>
          <w:tcPr>
            <w:tcW w:w="96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Electric shock</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i w:val="false"/>
                <w:i w:val="false"/>
                <w:iCs w:val="false"/>
                <w:sz w:val="16"/>
                <w:szCs w:val="16"/>
              </w:rPr>
            </w:pPr>
            <w:r>
              <w:rPr>
                <w:rFonts w:ascii="Nunito Sans" w:hAnsi="Nunito Sans"/>
                <w:i w:val="false"/>
                <w:iCs w:val="false"/>
                <w:sz w:val="16"/>
                <w:szCs w:val="16"/>
              </w:rPr>
            </w:r>
          </w:p>
          <w:p>
            <w:pPr>
              <w:pStyle w:val="TableContents"/>
              <w:bidi w:val="0"/>
              <w:jc w:val="center"/>
              <w:rPr>
                <w:rFonts w:ascii="Nunito Sans" w:hAnsi="Nunito Sans"/>
                <w:i w:val="false"/>
                <w:i w:val="false"/>
                <w:iCs w:val="false"/>
                <w:sz w:val="16"/>
                <w:szCs w:val="16"/>
              </w:rPr>
            </w:pPr>
            <w:r>
              <w:rPr>
                <w:rFonts w:ascii="Nunito Sans" w:hAnsi="Nunito Sans"/>
                <w:i w:val="false"/>
                <w:iCs w:val="false"/>
                <w:sz w:val="16"/>
                <w:szCs w:val="16"/>
              </w:rPr>
              <w:t>M</w:t>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All circuits fitted with RCD protection devices</w:t>
            </w:r>
          </w:p>
          <w:p>
            <w:pPr>
              <w:pStyle w:val="Normal"/>
              <w:widowControl/>
              <w:rPr>
                <w:rFonts w:ascii="Nunito Sans" w:hAnsi="Nunito Sans"/>
                <w:sz w:val="16"/>
                <w:szCs w:val="16"/>
              </w:rPr>
            </w:pPr>
            <w:r>
              <w:rPr>
                <w:rFonts w:ascii="Nunito Sans" w:hAnsi="Nunito Sans"/>
                <w:color w:val="000000"/>
                <w:sz w:val="16"/>
                <w:szCs w:val="16"/>
              </w:rPr>
              <w:t>Users MUST NOT interfere with any electrical installations</w:t>
            </w:r>
          </w:p>
          <w:p>
            <w:pPr>
              <w:pStyle w:val="Normal"/>
              <w:widowControl/>
              <w:rPr>
                <w:rFonts w:ascii="Nunito Sans" w:hAnsi="Nunito Sans"/>
                <w:sz w:val="16"/>
                <w:szCs w:val="16"/>
              </w:rPr>
            </w:pPr>
            <w:r>
              <w:rPr>
                <w:rFonts w:ascii="Nunito Sans" w:hAnsi="Nunito Sans"/>
                <w:color w:val="000000"/>
                <w:sz w:val="16"/>
                <w:szCs w:val="16"/>
              </w:rPr>
              <w:t>Portable appliances belonging to the site to be regularly PAT tested, failed appliances to be removed.</w:t>
            </w:r>
          </w:p>
          <w:p>
            <w:pPr>
              <w:pStyle w:val="Normal"/>
              <w:widowControl/>
              <w:rPr>
                <w:rFonts w:ascii="Nunito Sans" w:hAnsi="Nunito Sans"/>
                <w:sz w:val="16"/>
                <w:szCs w:val="16"/>
              </w:rPr>
            </w:pPr>
            <w:r>
              <w:rPr>
                <w:rFonts w:ascii="Nunito Sans" w:hAnsi="Nunito Sans"/>
                <w:color w:val="000000"/>
                <w:sz w:val="16"/>
                <w:szCs w:val="16"/>
              </w:rPr>
              <w:t>Use of extension cables kept to a minimum and ONLY be run externally from the buildings with prior approval.</w:t>
            </w:r>
          </w:p>
          <w:p>
            <w:pPr>
              <w:pStyle w:val="Normal"/>
              <w:widowControl/>
              <w:rPr>
                <w:rFonts w:ascii="Nunito Sans" w:hAnsi="Nunito Sans"/>
                <w:sz w:val="16"/>
                <w:szCs w:val="16"/>
              </w:rPr>
            </w:pPr>
            <w:r>
              <w:rPr>
                <w:rFonts w:ascii="Nunito Sans" w:hAnsi="Nunito Sans"/>
                <w:color w:val="000000"/>
                <w:sz w:val="16"/>
                <w:szCs w:val="16"/>
              </w:rPr>
              <w:t>Regular 5 year fixed wire testing completed by appropriately qualified electrician.</w:t>
            </w:r>
          </w:p>
          <w:p>
            <w:pPr>
              <w:pStyle w:val="Normal"/>
              <w:widowControl/>
              <w:rPr>
                <w:rFonts w:ascii="Nunito Sans" w:hAnsi="Nunito Sans"/>
                <w:sz w:val="16"/>
                <w:szCs w:val="16"/>
              </w:rPr>
            </w:pPr>
            <w:r>
              <w:rPr>
                <w:rFonts w:ascii="Nunito Sans" w:hAnsi="Nunito Sans"/>
                <w:b/>
                <w:bCs/>
                <w:color w:val="000000"/>
                <w:sz w:val="16"/>
                <w:szCs w:val="16"/>
              </w:rPr>
              <w:t>Users own electrical equipment subject to own risk assessments – see policy in folder</w:t>
            </w:r>
          </w:p>
        </w:tc>
        <w:tc>
          <w:tcPr>
            <w:tcW w:w="96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Inclusion</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color w:val="000000"/>
                <w:sz w:val="16"/>
                <w:szCs w:val="16"/>
              </w:rPr>
              <w:t>Where possible all adaptations have been made to accommodate occupants who use mobility aids: the Ashton centre has a wet room; John Briggs is built on 1 level; the Lodge is less accessible due to steps into the building. Users need to follow their own risk assessments to ensure safe evacuation in case of fire/emergencies.</w:t>
            </w:r>
          </w:p>
          <w:p>
            <w:pPr>
              <w:pStyle w:val="Normal"/>
              <w:widowControl/>
              <w:rPr>
                <w:rFonts w:ascii="Nunito Sans" w:hAnsi="Nunito Sans"/>
                <w:sz w:val="16"/>
                <w:szCs w:val="16"/>
              </w:rPr>
            </w:pPr>
            <w:r>
              <w:rPr>
                <w:rFonts w:ascii="Nunito Sans" w:hAnsi="Nunito Sans"/>
                <w:b/>
                <w:bCs/>
                <w:color w:val="000000"/>
                <w:sz w:val="16"/>
                <w:szCs w:val="16"/>
              </w:rPr>
              <w:t>This element is subject to buildings users own risk assessments</w:t>
            </w:r>
          </w:p>
        </w:tc>
        <w:tc>
          <w:tcPr>
            <w:tcW w:w="96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0" w:type="dxa"/>
            <w:tcBorders>
              <w:start w:val="single" w:sz="4" w:space="0" w:color="000000"/>
              <w:bottom w:val="single" w:sz="4" w:space="0" w:color="000000"/>
            </w:tcBorders>
          </w:tcPr>
          <w:p>
            <w:pPr>
              <w:pStyle w:val="Normal"/>
              <w:widowControl/>
              <w:jc w:val="start"/>
              <w:rPr>
                <w:rFonts w:ascii="Nunito Sans" w:hAnsi="Nunito Sans"/>
                <w:b w:val="false"/>
                <w:bCs w:val="false"/>
                <w:sz w:val="16"/>
                <w:szCs w:val="16"/>
              </w:rPr>
            </w:pPr>
            <w:r>
              <w:rPr>
                <w:rFonts w:ascii="Nunito Sans" w:hAnsi="Nunito Sans"/>
                <w:b w:val="false"/>
                <w:bCs w:val="false"/>
                <w:sz w:val="16"/>
                <w:szCs w:val="16"/>
              </w:rPr>
              <w:t xml:space="preserve">Indoor games </w:t>
            </w:r>
          </w:p>
          <w:p>
            <w:pPr>
              <w:pStyle w:val="Normal"/>
              <w:widowControl/>
              <w:jc w:val="start"/>
              <w:rPr>
                <w:rFonts w:ascii="Nunito Sans" w:hAnsi="Nunito Sans"/>
                <w:b w:val="false"/>
                <w:bCs w:val="false"/>
                <w:sz w:val="16"/>
                <w:szCs w:val="16"/>
              </w:rPr>
            </w:pPr>
            <w:r>
              <w:rPr>
                <w:rFonts w:ascii="Nunito Sans" w:hAnsi="Nunito Sans"/>
                <w:b w:val="false"/>
                <w:bCs w:val="false"/>
                <w:sz w:val="16"/>
                <w:szCs w:val="16"/>
              </w:rPr>
              <w:t>Snooker, broken windows/poking with cues</w:t>
            </w:r>
          </w:p>
          <w:p>
            <w:pPr>
              <w:pStyle w:val="Normal"/>
              <w:widowControl/>
              <w:jc w:val="start"/>
              <w:rPr>
                <w:rFonts w:ascii="Nunito Sans" w:hAnsi="Nunito Sans"/>
                <w:b w:val="false"/>
                <w:bCs w:val="false"/>
                <w:sz w:val="16"/>
                <w:szCs w:val="16"/>
              </w:rPr>
            </w:pPr>
            <w:r>
              <w:rPr>
                <w:rFonts w:ascii="Nunito Sans" w:hAnsi="Nunito Sans"/>
                <w:b w:val="false"/>
                <w:bCs w:val="false"/>
                <w:sz w:val="16"/>
                <w:szCs w:val="16"/>
              </w:rPr>
              <w:t>Table tennis, table moving, fingers trapped in net clamp.</w:t>
            </w:r>
          </w:p>
          <w:p>
            <w:pPr>
              <w:pStyle w:val="Normal"/>
              <w:widowControl/>
              <w:jc w:val="start"/>
              <w:rPr>
                <w:rFonts w:ascii="Nunito Sans" w:hAnsi="Nunito Sans"/>
                <w:b w:val="false"/>
                <w:bCs w:val="false"/>
                <w:sz w:val="16"/>
                <w:szCs w:val="16"/>
              </w:rPr>
            </w:pPr>
            <w:r>
              <w:rPr>
                <w:rFonts w:ascii="Nunito Sans" w:hAnsi="Nunito Sans"/>
                <w:b w:val="false"/>
                <w:bCs w:val="false"/>
                <w:sz w:val="16"/>
                <w:szCs w:val="16"/>
              </w:rPr>
              <w:t>Rubber darts, damage to eyes</w:t>
            </w:r>
          </w:p>
          <w:p>
            <w:pPr>
              <w:pStyle w:val="Normal"/>
              <w:widowControl/>
              <w:jc w:val="start"/>
              <w:rPr>
                <w:rFonts w:ascii="Nunito Sans" w:hAnsi="Nunito Sans"/>
                <w:b w:val="false"/>
                <w:bCs w:val="false"/>
                <w:sz w:val="16"/>
                <w:szCs w:val="16"/>
              </w:rPr>
            </w:pPr>
            <w:r>
              <w:rPr>
                <w:rFonts w:ascii="Nunito Sans" w:hAnsi="Nunito Sans"/>
                <w:b w:val="false"/>
                <w:bCs w:val="false"/>
                <w:sz w:val="16"/>
                <w:szCs w:val="16"/>
              </w:rPr>
              <w:t>Skittles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 xml:space="preserve">Snooker table needs to be moved to centre of room and wheels locked, prior to play. </w:t>
            </w:r>
          </w:p>
          <w:p>
            <w:pPr>
              <w:pStyle w:val="Normal"/>
              <w:widowControl/>
              <w:rPr>
                <w:rFonts w:ascii="Nunito Sans" w:hAnsi="Nunito Sans"/>
                <w:sz w:val="16"/>
                <w:szCs w:val="16"/>
              </w:rPr>
            </w:pPr>
            <w:r>
              <w:rPr>
                <w:rFonts w:ascii="Nunito Sans" w:hAnsi="Nunito Sans"/>
                <w:sz w:val="16"/>
                <w:szCs w:val="16"/>
              </w:rPr>
              <w:t>Participants to be warned regarding use of snooker cues.</w:t>
            </w:r>
          </w:p>
          <w:p>
            <w:pPr>
              <w:pStyle w:val="Normal"/>
              <w:widowControl/>
              <w:rPr>
                <w:rFonts w:ascii="Nunito Sans" w:hAnsi="Nunito Sans"/>
                <w:sz w:val="16"/>
                <w:szCs w:val="16"/>
              </w:rPr>
            </w:pPr>
            <w:r>
              <w:rPr>
                <w:rFonts w:ascii="Nunito Sans" w:hAnsi="Nunito Sans"/>
                <w:sz w:val="16"/>
                <w:szCs w:val="16"/>
              </w:rPr>
              <w:t>Table tennis table to be moved into safe position, wheels to be locked prior to use</w:t>
            </w:r>
          </w:p>
          <w:p>
            <w:pPr>
              <w:pStyle w:val="Normal"/>
              <w:widowControl/>
              <w:rPr>
                <w:rFonts w:ascii="Nunito Sans" w:hAnsi="Nunito Sans"/>
                <w:sz w:val="16"/>
                <w:szCs w:val="16"/>
              </w:rPr>
            </w:pPr>
            <w:r>
              <w:rPr>
                <w:rFonts w:ascii="Nunito Sans" w:hAnsi="Nunito Sans"/>
                <w:sz w:val="16"/>
                <w:szCs w:val="16"/>
              </w:rPr>
              <w:t>Net to be secured by Adults</w:t>
            </w:r>
          </w:p>
          <w:p>
            <w:pPr>
              <w:pStyle w:val="Normal"/>
              <w:widowControl/>
              <w:rPr>
                <w:rFonts w:ascii="Nunito Sans" w:hAnsi="Nunito Sans"/>
                <w:sz w:val="16"/>
                <w:szCs w:val="16"/>
              </w:rPr>
            </w:pPr>
            <w:r>
              <w:rPr>
                <w:rFonts w:ascii="Nunito Sans" w:hAnsi="Nunito Sans"/>
                <w:sz w:val="16"/>
                <w:szCs w:val="16"/>
              </w:rPr>
              <w:t>Darts only to be thrown onto designated targets</w:t>
            </w:r>
          </w:p>
          <w:p>
            <w:pPr>
              <w:pStyle w:val="Normal"/>
              <w:widowControl/>
              <w:rPr>
                <w:rFonts w:ascii="Nunito Sans" w:hAnsi="Nunito Sans"/>
                <w:sz w:val="16"/>
                <w:szCs w:val="16"/>
              </w:rPr>
            </w:pPr>
            <w:r>
              <w:rPr>
                <w:rFonts w:ascii="Nunito Sans" w:hAnsi="Nunito Sans"/>
                <w:sz w:val="16"/>
                <w:szCs w:val="16"/>
              </w:rPr>
              <w:t>Skittle game to be placed on flat surface to play, skittles NOT to be thrown.</w:t>
            </w:r>
          </w:p>
        </w:tc>
        <w:tc>
          <w:tcPr>
            <w:tcW w:w="96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0" w:type="dxa"/>
            <w:tcBorders>
              <w:start w:val="single" w:sz="4" w:space="0" w:color="000000"/>
              <w:bottom w:val="single" w:sz="4" w:space="0" w:color="000000"/>
            </w:tcBorders>
          </w:tcPr>
          <w:p>
            <w:pPr>
              <w:pStyle w:val="Normal"/>
              <w:widowControl/>
              <w:jc w:val="start"/>
              <w:rPr>
                <w:rFonts w:ascii="Nunito Sans" w:hAnsi="Nunito Sans"/>
                <w:b w:val="false"/>
                <w:bCs w:val="false"/>
                <w:sz w:val="16"/>
                <w:szCs w:val="16"/>
              </w:rPr>
            </w:pPr>
            <w:r>
              <w:rPr>
                <w:rFonts w:ascii="Nunito Sans" w:hAnsi="Nunito Sans"/>
                <w:b w:val="false"/>
                <w:bCs w:val="false"/>
                <w:sz w:val="16"/>
                <w:szCs w:val="16"/>
              </w:rPr>
              <w:t xml:space="preserve">Other activities run in the </w:t>
            </w:r>
          </w:p>
          <w:p>
            <w:pPr>
              <w:pStyle w:val="Normal"/>
              <w:widowControl/>
              <w:jc w:val="start"/>
              <w:rPr>
                <w:rFonts w:ascii="Nunito Sans" w:hAnsi="Nunito Sans"/>
                <w:b w:val="false"/>
                <w:bCs w:val="false"/>
                <w:sz w:val="16"/>
                <w:szCs w:val="16"/>
              </w:rPr>
            </w:pPr>
            <w:r>
              <w:rPr>
                <w:rFonts w:ascii="Nunito Sans" w:hAnsi="Nunito Sans"/>
                <w:b w:val="false"/>
                <w:bCs w:val="false"/>
                <w:sz w:val="16"/>
                <w:szCs w:val="16"/>
              </w:rPr>
              <w:t>Annexe</w:t>
            </w:r>
          </w:p>
        </w:tc>
        <w:tc>
          <w:tcPr>
            <w:tcW w:w="221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rFonts w:ascii="Nunito Sans" w:hAnsi="Nunito Sans"/>
                <w:b w:val="false"/>
                <w:bCs w:val="false"/>
                <w:sz w:val="16"/>
                <w:szCs w:val="16"/>
              </w:rPr>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bCs/>
                <w:sz w:val="16"/>
                <w:szCs w:val="16"/>
              </w:rPr>
              <w:t>This element is subject to buildings users own risk assessments</w:t>
            </w:r>
          </w:p>
        </w:tc>
        <w:tc>
          <w:tcPr>
            <w:tcW w:w="96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rFonts w:ascii="Nunito Sans" w:hAnsi="Nunito Sans"/>
                <w:b w:val="false"/>
                <w:bCs w:val="false"/>
                <w:sz w:val="16"/>
                <w:szCs w:val="16"/>
              </w:rPr>
              <w:t>Use of Fridges</w:t>
            </w:r>
          </w:p>
          <w:p>
            <w:pPr>
              <w:pStyle w:val="Normal"/>
              <w:widowControl/>
              <w:rPr>
                <w:rFonts w:ascii="Nunito Sans" w:hAnsi="Nunito Sans"/>
                <w:b w:val="false"/>
                <w:bCs w:val="false"/>
                <w:sz w:val="16"/>
                <w:szCs w:val="16"/>
              </w:rPr>
            </w:pPr>
            <w:r>
              <w:rPr>
                <w:rFonts w:ascii="Nunito Sans" w:hAnsi="Nunito Sans"/>
                <w:b w:val="false"/>
                <w:bCs w:val="false"/>
                <w:sz w:val="16"/>
                <w:szCs w:val="16"/>
              </w:rPr>
              <w:t>incorrect temperature</w:t>
            </w:r>
          </w:p>
          <w:p>
            <w:pPr>
              <w:pStyle w:val="Normal"/>
              <w:widowControl/>
              <w:rPr>
                <w:rFonts w:ascii="Nunito Sans" w:hAnsi="Nunito Sans"/>
                <w:b w:val="false"/>
                <w:bCs w:val="false"/>
                <w:sz w:val="16"/>
                <w:szCs w:val="16"/>
              </w:rPr>
            </w:pPr>
            <w:r>
              <w:rPr>
                <w:rFonts w:ascii="Nunito Sans" w:hAnsi="Nunito Sans"/>
                <w:b w:val="false"/>
                <w:bCs w:val="false"/>
                <w:sz w:val="16"/>
                <w:szCs w:val="16"/>
              </w:rPr>
              <w:t>unauthorised access</w:t>
            </w:r>
          </w:p>
        </w:tc>
        <w:tc>
          <w:tcPr>
            <w:tcW w:w="221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rFonts w:ascii="Nunito Sans" w:hAnsi="Nunito Sans"/>
                <w:b w:val="false"/>
                <w:bCs w:val="false"/>
                <w:sz w:val="16"/>
                <w:szCs w:val="16"/>
              </w:rPr>
              <w:t>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7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Fridges need to be checked to ensure turned on at plug sockets</w:t>
            </w:r>
          </w:p>
          <w:p>
            <w:pPr>
              <w:pStyle w:val="Normal"/>
              <w:widowControl/>
              <w:rPr>
                <w:rFonts w:ascii="Nunito Sans" w:hAnsi="Nunito Sans"/>
                <w:sz w:val="16"/>
                <w:szCs w:val="16"/>
              </w:rPr>
            </w:pPr>
            <w:r>
              <w:rPr>
                <w:rFonts w:ascii="Nunito Sans" w:hAnsi="Nunito Sans"/>
                <w:sz w:val="16"/>
                <w:szCs w:val="16"/>
              </w:rPr>
              <w:t>Door to Fridge area needs to be kept closed</w:t>
            </w:r>
          </w:p>
          <w:p>
            <w:pPr>
              <w:pStyle w:val="Normal"/>
              <w:widowControl/>
              <w:rPr>
                <w:rFonts w:ascii="Nunito Sans" w:hAnsi="Nunito Sans"/>
                <w:sz w:val="16"/>
                <w:szCs w:val="16"/>
              </w:rPr>
            </w:pPr>
            <w:r>
              <w:rPr>
                <w:rFonts w:ascii="Nunito Sans" w:hAnsi="Nunito Sans"/>
                <w:sz w:val="16"/>
                <w:szCs w:val="16"/>
              </w:rPr>
              <w:t>External door to be kept closed</w:t>
            </w:r>
          </w:p>
        </w:tc>
        <w:tc>
          <w:tcPr>
            <w:tcW w:w="96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rFonts w:ascii="Nunito Sans" w:hAnsi="Nunito Sans"/>
                <w:b w:val="false"/>
                <w:bCs w:val="false"/>
                <w:sz w:val="16"/>
                <w:szCs w:val="16"/>
              </w:rPr>
              <w:t>Use of camping chairs/tables  - slipping</w:t>
            </w:r>
          </w:p>
          <w:p>
            <w:pPr>
              <w:pStyle w:val="Normal"/>
              <w:widowControl/>
              <w:rPr>
                <w:rFonts w:ascii="Nunito Sans" w:hAnsi="Nunito Sans"/>
                <w:b w:val="false"/>
                <w:bCs w:val="false"/>
                <w:sz w:val="16"/>
                <w:szCs w:val="16"/>
              </w:rPr>
            </w:pPr>
            <w:r>
              <w:rPr>
                <w:rFonts w:ascii="Nunito Sans" w:hAnsi="Nunito Sans"/>
                <w:b w:val="false"/>
                <w:bCs w:val="false"/>
                <w:sz w:val="16"/>
                <w:szCs w:val="16"/>
              </w:rPr>
            </w:r>
          </w:p>
          <w:p>
            <w:pPr>
              <w:pStyle w:val="Normal"/>
              <w:widowControl/>
              <w:rPr>
                <w:rFonts w:ascii="Nunito Sans" w:hAnsi="Nunito Sans"/>
                <w:b w:val="false"/>
                <w:bCs w:val="false"/>
                <w:sz w:val="16"/>
                <w:szCs w:val="16"/>
              </w:rPr>
            </w:pPr>
            <w:r>
              <w:rPr>
                <w:rFonts w:ascii="Nunito Sans" w:hAnsi="Nunito Sans"/>
                <w:b w:val="false"/>
                <w:bCs w:val="false"/>
                <w:sz w:val="16"/>
                <w:szCs w:val="16"/>
              </w:rPr>
              <w:t>Hygiene</w:t>
            </w:r>
          </w:p>
        </w:tc>
        <w:tc>
          <w:tcPr>
            <w:tcW w:w="221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rFonts w:ascii="Nunito Sans" w:hAnsi="Nunito Sans"/>
                <w:b w:val="false"/>
                <w:bCs w:val="false"/>
                <w:sz w:val="16"/>
                <w:szCs w:val="16"/>
              </w:rPr>
              <w:t>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70" w:type="dxa"/>
            <w:tcBorders>
              <w:start w:val="single" w:sz="4" w:space="0" w:color="000000"/>
              <w:bottom w:val="single" w:sz="4" w:space="0" w:color="000000"/>
            </w:tcBorders>
          </w:tcPr>
          <w:p>
            <w:pPr>
              <w:pStyle w:val="Normal"/>
              <w:widowControl/>
              <w:rPr>
                <w:rFonts w:ascii="Nunito Sans" w:hAnsi="Nunito Sans"/>
                <w:b w:val="false"/>
                <w:bCs w:val="false"/>
                <w:sz w:val="16"/>
                <w:szCs w:val="16"/>
              </w:rPr>
            </w:pPr>
            <w:r>
              <w:rPr>
                <w:rFonts w:ascii="Nunito Sans" w:hAnsi="Nunito Sans"/>
                <w:b w:val="false"/>
                <w:bCs w:val="false"/>
                <w:sz w:val="16"/>
                <w:szCs w:val="16"/>
              </w:rPr>
              <w:t>Care to be taken when lifting and moving equipment from store area</w:t>
            </w:r>
          </w:p>
          <w:p>
            <w:pPr>
              <w:pStyle w:val="Normal"/>
              <w:widowControl/>
              <w:rPr>
                <w:rFonts w:ascii="Nunito Sans" w:hAnsi="Nunito Sans"/>
                <w:b w:val="false"/>
                <w:bCs w:val="false"/>
                <w:sz w:val="16"/>
                <w:szCs w:val="16"/>
              </w:rPr>
            </w:pPr>
            <w:r>
              <w:rPr>
                <w:rFonts w:ascii="Nunito Sans" w:hAnsi="Nunito Sans"/>
                <w:b w:val="false"/>
                <w:bCs w:val="false"/>
                <w:sz w:val="16"/>
                <w:szCs w:val="16"/>
              </w:rPr>
              <w:t>All items to be returned to same positions, chair’s not to be stacked, but stood in corner, tables not stacked put under shelving, so as to prevent sliding and potential injury</w:t>
            </w:r>
          </w:p>
          <w:p>
            <w:pPr>
              <w:pStyle w:val="Normal"/>
              <w:widowControl/>
              <w:rPr>
                <w:rFonts w:ascii="Nunito Sans" w:hAnsi="Nunito Sans"/>
                <w:b w:val="false"/>
                <w:bCs w:val="false"/>
                <w:sz w:val="16"/>
                <w:szCs w:val="16"/>
              </w:rPr>
            </w:pPr>
            <w:r>
              <w:rPr>
                <w:rFonts w:ascii="Nunito Sans" w:hAnsi="Nunito Sans"/>
                <w:b w:val="false"/>
                <w:bCs w:val="false"/>
                <w:sz w:val="16"/>
                <w:szCs w:val="16"/>
              </w:rPr>
              <w:t>All equipment to be cleaned before returned to storage</w:t>
            </w:r>
          </w:p>
        </w:tc>
        <w:tc>
          <w:tcPr>
            <w:tcW w:w="960"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bl>
    <w:p>
      <w:pPr>
        <w:pStyle w:val="Normal"/>
        <w:bidi w:val="0"/>
        <w:jc w:val="start"/>
        <w:rPr>
          <w:rFonts w:ascii="Nunito Sans" w:hAnsi="Nunito Sans"/>
        </w:rPr>
      </w:pPr>
      <w:r>
        <w:rPr>
          <w:rFonts w:ascii="Nunito Sans" w:hAnsi="Nunito Sans"/>
        </w:rPr>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2706</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2026-05-13T14:05:01Z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