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drawing>
          <wp:anchor behindDoc="0" distT="0" distB="0" distL="0" distR="0" simplePos="0" locked="0" layoutInCell="0" allowOverlap="1" relativeHeight="2">
            <wp:simplePos x="0" y="0"/>
            <wp:positionH relativeFrom="column">
              <wp:posOffset>-629920</wp:posOffset>
            </wp:positionH>
            <wp:positionV relativeFrom="paragraph">
              <wp:posOffset>-692785</wp:posOffset>
            </wp:positionV>
            <wp:extent cx="2315845" cy="1052830"/>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2315845" cy="1052830"/>
                    </a:xfrm>
                    <a:prstGeom prst="rect">
                      <a:avLst/>
                    </a:prstGeom>
                  </pic:spPr>
                </pic:pic>
              </a:graphicData>
            </a:graphic>
          </wp:anchor>
        </w:drawing>
      </w:r>
      <w:r>
        <w:rPr>
          <w:rFonts w:ascii="Nunito Sans" w:hAnsi="Nunito Sans"/>
          <w:b/>
          <w:bCs/>
        </w:rPr>
        <w:t xml:space="preserve"> </w:t>
      </w:r>
      <w:r>
        <w:rPr>
          <w:rFonts w:ascii="Nunito Sans" w:hAnsi="Nunito Sans"/>
          <w:b/>
          <w:bCs/>
        </w:rPr>
        <w:t>Risk Assessment</w:t>
      </w:r>
    </w:p>
    <w:p>
      <w:pPr>
        <w:pStyle w:val="Normal"/>
        <w:bidi w:val="0"/>
        <w:jc w:val="start"/>
        <w:rPr>
          <w:rFonts w:ascii="Nunito Sans" w:hAnsi="Nunito Sans"/>
        </w:rPr>
      </w:pPr>
      <w:r>
        <w:rPr>
          <w:rFonts w:ascii="Nunito Sans" w:hAnsi="Nunito Sans"/>
        </w:rPr>
      </w:r>
    </w:p>
    <w:tbl>
      <w:tblPr>
        <w:tblW w:w="15030" w:type="dxa"/>
        <w:jc w:val="start"/>
        <w:tblInd w:w="-5" w:type="dxa"/>
        <w:tblLayout w:type="fixed"/>
        <w:tblCellMar>
          <w:top w:w="55" w:type="dxa"/>
          <w:start w:w="55" w:type="dxa"/>
          <w:bottom w:w="55" w:type="dxa"/>
          <w:end w:w="55" w:type="dxa"/>
        </w:tblCellMar>
      </w:tblPr>
      <w:tblGrid>
        <w:gridCol w:w="1869"/>
        <w:gridCol w:w="4260"/>
        <w:gridCol w:w="3341"/>
        <w:gridCol w:w="1760"/>
        <w:gridCol w:w="1700"/>
        <w:gridCol w:w="2099"/>
      </w:tblGrid>
      <w:tr>
        <w:trPr/>
        <w:tc>
          <w:tcPr>
            <w:tcW w:w="1869" w:type="dxa"/>
            <w:tcBorders>
              <w:top w:val="single" w:sz="4" w:space="0" w:color="000000"/>
              <w:start w:val="single" w:sz="4" w:space="0" w:color="000000"/>
              <w:bottom w:val="single" w:sz="4" w:space="0" w:color="000000"/>
            </w:tcBorders>
            <w:shd w:fill="B2B2B2" w:val="clear"/>
          </w:tcPr>
          <w:p>
            <w:pPr>
              <w:pStyle w:val="Normal"/>
              <w:widowControl/>
              <w:bidi w:val="0"/>
              <w:jc w:val="start"/>
              <w:rPr>
                <w:b/>
                <w:sz w:val="20"/>
                <w:szCs w:val="20"/>
              </w:rPr>
            </w:pPr>
            <w:r>
              <w:rPr>
                <w:rFonts w:ascii="Nunito Sans" w:hAnsi="Nunito Sans"/>
                <w:b w:val="false"/>
                <w:bCs w:val="false"/>
                <w:sz w:val="20"/>
                <w:szCs w:val="20"/>
                <w:shd w:fill="auto" w:val="clear"/>
              </w:rPr>
              <w:t>Name of activity, event, and location</w:t>
            </w:r>
          </w:p>
        </w:tc>
        <w:tc>
          <w:tcPr>
            <w:tcW w:w="4260" w:type="dxa"/>
            <w:tcBorders>
              <w:top w:val="single" w:sz="4" w:space="0" w:color="000000"/>
              <w:start w:val="single" w:sz="4" w:space="0" w:color="000000"/>
              <w:bottom w:val="single" w:sz="4" w:space="0" w:color="000000"/>
            </w:tcBorders>
          </w:tcPr>
          <w:p>
            <w:pPr>
              <w:pStyle w:val="Normal"/>
              <w:widowControl/>
              <w:bidi w:val="0"/>
              <w:jc w:val="start"/>
              <w:rPr>
                <w:b/>
                <w:sz w:val="20"/>
                <w:szCs w:val="20"/>
              </w:rPr>
            </w:pPr>
            <w:r>
              <w:rPr>
                <w:rFonts w:ascii="Nunito Sans" w:hAnsi="Nunito Sans"/>
                <w:b w:val="false"/>
                <w:bCs w:val="false"/>
                <w:sz w:val="20"/>
                <w:szCs w:val="20"/>
              </w:rPr>
              <w:t>Residential Buildings</w:t>
            </w:r>
            <w:r>
              <w:rPr>
                <w:rFonts w:ascii="Nunito Sans" w:hAnsi="Nunito Sans"/>
                <w:b/>
                <w:bCs w:val="false"/>
                <w:sz w:val="20"/>
                <w:szCs w:val="20"/>
              </w:rPr>
              <w:t xml:space="preserve"> </w:t>
            </w:r>
            <w:r>
              <w:rPr>
                <w:rFonts w:ascii="Nunito Sans" w:hAnsi="Nunito Sans"/>
                <w:b w:val="false"/>
                <w:bCs w:val="false"/>
                <w:sz w:val="20"/>
                <w:szCs w:val="20"/>
              </w:rPr>
              <w:t>@ Bramhope Scout Campsite</w:t>
            </w:r>
          </w:p>
        </w:tc>
        <w:tc>
          <w:tcPr>
            <w:tcW w:w="3341"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Date of risk assessment</w:t>
            </w:r>
          </w:p>
          <w:p>
            <w:pPr>
              <w:pStyle w:val="Normal"/>
              <w:widowControl/>
              <w:bidi w:val="0"/>
              <w:jc w:val="center"/>
              <w:rPr>
                <w:b/>
                <w:sz w:val="20"/>
                <w:szCs w:val="20"/>
              </w:rPr>
            </w:pPr>
            <w:r>
              <w:rPr>
                <w:b/>
                <w:sz w:val="20"/>
                <w:szCs w:val="20"/>
              </w:rPr>
            </w:r>
          </w:p>
          <w:p>
            <w:pPr>
              <w:pStyle w:val="Normal"/>
              <w:widowControl/>
              <w:bidi w:val="0"/>
              <w:jc w:val="center"/>
              <w:rPr>
                <w:b/>
                <w:sz w:val="20"/>
                <w:szCs w:val="20"/>
              </w:rPr>
            </w:pPr>
            <w:r>
              <w:rPr>
                <w:rFonts w:ascii="Nunito Sans" w:hAnsi="Nunito Sans"/>
                <w:b w:val="false"/>
                <w:bCs w:val="false"/>
                <w:sz w:val="20"/>
                <w:szCs w:val="20"/>
                <w:shd w:fill="auto" w:val="clear"/>
              </w:rPr>
              <w:t>Date of next review</w:t>
            </w:r>
          </w:p>
        </w:tc>
        <w:tc>
          <w:tcPr>
            <w:tcW w:w="176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11/05/2026</w:t>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01/05/2027</w:t>
            </w:r>
          </w:p>
        </w:tc>
        <w:tc>
          <w:tcPr>
            <w:tcW w:w="1700"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Name of person doing this risk assessment</w:t>
            </w:r>
          </w:p>
        </w:tc>
        <w:tc>
          <w:tcPr>
            <w:tcW w:w="2099"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b/>
                <w:sz w:val="20"/>
                <w:szCs w:val="20"/>
              </w:rPr>
            </w:pPr>
            <w:r>
              <w:rPr>
                <w:rFonts w:ascii="Nunito Sans" w:hAnsi="Nunito Sans"/>
                <w:b w:val="false"/>
                <w:bCs w:val="false"/>
                <w:sz w:val="20"/>
                <w:szCs w:val="20"/>
              </w:rPr>
              <w:t>Angie Foley</w:t>
            </w:r>
          </w:p>
          <w:p>
            <w:pPr>
              <w:pStyle w:val="Normal"/>
              <w:widowControl/>
              <w:bidi w:val="0"/>
              <w:jc w:val="start"/>
              <w:rPr>
                <w:rFonts w:ascii="Nunito Sans" w:hAnsi="Nunito Sans"/>
                <w:b w:val="false"/>
                <w:bCs w:val="false"/>
                <w:sz w:val="20"/>
                <w:szCs w:val="20"/>
              </w:rPr>
            </w:pPr>
            <w:r>
              <w:rPr>
                <w:rFonts w:ascii="Nunito Sans" w:hAnsi="Nunito Sans"/>
                <w:b w:val="false"/>
                <w:bCs w:val="false"/>
                <w:sz w:val="20"/>
                <w:szCs w:val="20"/>
              </w:rPr>
              <w:t>John Smallwood</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sz w:val="20"/>
          <w:szCs w:val="20"/>
        </w:rPr>
      </w:pPr>
      <w:r>
        <w:rPr>
          <w:rFonts w:ascii="Nunito Sans" w:hAnsi="Nunito Sans"/>
          <w:sz w:val="20"/>
          <w:szCs w:val="20"/>
        </w:rPr>
        <w:t>This document describes the hazards and controls you may encounter at Bramhope. This risk assessment excludes adventurous activities, (these are available on our website) and only includes hazards which may affect visiting groups – it does not cover hazards specific to site maintenance volunteers. This document provides a concise overview of the controls in place so that you have a reasonable understanding of the hazards and residual risks associated with visiting the site. If you feel there are hazards missing or you would like more detailed information, please get in touch.</w:t>
      </w:r>
    </w:p>
    <w:p>
      <w:pPr>
        <w:pStyle w:val="Normal"/>
        <w:bidi w:val="0"/>
        <w:jc w:val="start"/>
        <w:rPr>
          <w:rFonts w:ascii="Nunito Sans" w:hAnsi="Nunito Sans"/>
          <w:sz w:val="20"/>
          <w:szCs w:val="20"/>
        </w:rPr>
      </w:pPr>
      <w:r>
        <w:rPr>
          <w:rFonts w:ascii="Nunito Sans" w:hAnsi="Nunito Sans"/>
          <w:sz w:val="20"/>
          <w:szCs w:val="20"/>
        </w:rPr>
      </w:r>
    </w:p>
    <w:tbl>
      <w:tblPr>
        <w:tblW w:w="5000" w:type="pct"/>
        <w:jc w:val="start"/>
        <w:tblInd w:w="-5" w:type="dxa"/>
        <w:tblLayout w:type="fixed"/>
        <w:tblCellMar>
          <w:top w:w="55" w:type="dxa"/>
          <w:start w:w="55" w:type="dxa"/>
          <w:bottom w:w="55" w:type="dxa"/>
          <w:end w:w="55" w:type="dxa"/>
        </w:tblCellMar>
      </w:tblPr>
      <w:tblGrid>
        <w:gridCol w:w="1079"/>
        <w:gridCol w:w="5270"/>
        <w:gridCol w:w="8221"/>
      </w:tblGrid>
      <w:tr>
        <w:trPr/>
        <w:tc>
          <w:tcPr>
            <w:tcW w:w="1079"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Level</w:t>
            </w:r>
          </w:p>
        </w:tc>
        <w:tc>
          <w:tcPr>
            <w:tcW w:w="527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Severity Description</w:t>
            </w:r>
          </w:p>
        </w:tc>
        <w:tc>
          <w:tcPr>
            <w:tcW w:w="8221" w:type="dxa"/>
            <w:tcBorders>
              <w:top w:val="single" w:sz="4" w:space="0" w:color="000000"/>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Residual Risk Description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 xml:space="preserve">Low </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Minor injury requiring no treatment or simple first aid</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minimal levels.</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Medium</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treatment beyond the skills of a basic first aider. Requires participant to stop activity.</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adequate level. But hazard still requires dynamic risk assessment and conscious consideration.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High</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expert medical attention and/or be fatal.</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haven’t reduced severity or likelihood to an acceptable level.</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2159"/>
        <w:gridCol w:w="2210"/>
        <w:gridCol w:w="1470"/>
        <w:gridCol w:w="7769"/>
        <w:gridCol w:w="962"/>
      </w:tblGrid>
      <w:tr>
        <w:trPr/>
        <w:tc>
          <w:tcPr>
            <w:tcW w:w="2159"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Hazards</w:t>
            </w:r>
          </w:p>
        </w:tc>
        <w:tc>
          <w:tcPr>
            <w:tcW w:w="221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Who may be harmed?</w:t>
            </w:r>
          </w:p>
        </w:tc>
        <w:tc>
          <w:tcPr>
            <w:tcW w:w="1470" w:type="dxa"/>
            <w:tcBorders>
              <w:top w:val="single" w:sz="4" w:space="0" w:color="000000"/>
              <w:start w:val="single" w:sz="4" w:space="0" w:color="000000"/>
              <w:bottom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 xml:space="preserve">Foreseeable </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Severity</w:t>
            </w:r>
          </w:p>
        </w:tc>
        <w:tc>
          <w:tcPr>
            <w:tcW w:w="7769"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in place</w:t>
            </w:r>
          </w:p>
        </w:tc>
        <w:tc>
          <w:tcPr>
            <w:tcW w:w="962" w:type="dxa"/>
            <w:tcBorders>
              <w:top w:val="single" w:sz="4" w:space="0" w:color="000000"/>
              <w:start w:val="single" w:sz="4" w:space="0" w:color="000000"/>
              <w:bottom w:val="single" w:sz="4" w:space="0" w:color="000000"/>
              <w:end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Residual</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Risk</w:t>
            </w:r>
          </w:p>
        </w:tc>
      </w:tr>
      <w:tr>
        <w:trPr/>
        <w:tc>
          <w:tcPr>
            <w:tcW w:w="2159" w:type="dxa"/>
            <w:tcBorders>
              <w:start w:val="single" w:sz="4" w:space="0" w:color="000000"/>
              <w:bottom w:val="single" w:sz="4" w:space="0" w:color="000000"/>
            </w:tcBorders>
          </w:tcPr>
          <w:p>
            <w:pPr>
              <w:pStyle w:val="Normal"/>
              <w:widowControl/>
              <w:rPr>
                <w:sz w:val="14"/>
                <w:szCs w:val="14"/>
              </w:rPr>
            </w:pPr>
            <w:r>
              <w:rPr>
                <w:sz w:val="14"/>
                <w:szCs w:val="14"/>
              </w:rPr>
              <w:t>Fire</w:t>
            </w:r>
          </w:p>
          <w:p>
            <w:pPr>
              <w:pStyle w:val="Normal"/>
              <w:widowControl/>
              <w:rPr>
                <w:sz w:val="14"/>
                <w:szCs w:val="14"/>
              </w:rPr>
            </w:pPr>
            <w:r>
              <w:rPr>
                <w:sz w:val="14"/>
                <w:szCs w:val="14"/>
              </w:rPr>
              <w:t>Burns and asphyxiation</w:t>
            </w:r>
          </w:p>
        </w:tc>
        <w:tc>
          <w:tcPr>
            <w:tcW w:w="2210" w:type="dxa"/>
            <w:tcBorders>
              <w:start w:val="single" w:sz="4" w:space="0" w:color="000000"/>
              <w:bottom w:val="single" w:sz="4" w:space="0" w:color="000000"/>
            </w:tcBorders>
          </w:tcPr>
          <w:p>
            <w:pPr>
              <w:pStyle w:val="Normal"/>
              <w:widowControl/>
              <w:rPr>
                <w:sz w:val="14"/>
                <w:szCs w:val="14"/>
              </w:rPr>
            </w:pPr>
            <w:r>
              <w:rPr>
                <w:sz w:val="14"/>
                <w:szCs w:val="14"/>
              </w:rPr>
              <w:t>All building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H</w:t>
            </w:r>
          </w:p>
        </w:tc>
        <w:tc>
          <w:tcPr>
            <w:tcW w:w="7769" w:type="dxa"/>
            <w:tcBorders>
              <w:start w:val="single" w:sz="4" w:space="0" w:color="000000"/>
              <w:bottom w:val="single" w:sz="4" w:space="0" w:color="000000"/>
            </w:tcBorders>
          </w:tcPr>
          <w:p>
            <w:pPr>
              <w:pStyle w:val="Normal"/>
              <w:widowControl/>
              <w:rPr>
                <w:b w:val="false"/>
                <w:bCs w:val="false"/>
              </w:rPr>
            </w:pPr>
            <w:r>
              <w:rPr>
                <w:b w:val="false"/>
                <w:bCs w:val="false"/>
                <w:i w:val="false"/>
                <w:iCs w:val="false"/>
                <w:sz w:val="14"/>
                <w:szCs w:val="14"/>
              </w:rPr>
              <w:t>Automatic fire alarms installed; serviced and regularly checked</w:t>
            </w:r>
          </w:p>
          <w:p>
            <w:pPr>
              <w:pStyle w:val="Normal"/>
              <w:widowControl/>
              <w:rPr>
                <w:b w:val="false"/>
                <w:bCs w:val="false"/>
              </w:rPr>
            </w:pPr>
            <w:r>
              <w:rPr>
                <w:b w:val="false"/>
                <w:bCs w:val="false"/>
                <w:i w:val="false"/>
                <w:iCs w:val="false"/>
                <w:sz w:val="14"/>
                <w:szCs w:val="14"/>
              </w:rPr>
              <w:t>Emergency lighting installed; serviced and regularly checked</w:t>
            </w:r>
          </w:p>
          <w:p>
            <w:pPr>
              <w:pStyle w:val="Normal"/>
              <w:widowControl/>
              <w:rPr>
                <w:b w:val="false"/>
                <w:bCs w:val="false"/>
              </w:rPr>
            </w:pPr>
            <w:r>
              <w:rPr>
                <w:b w:val="false"/>
                <w:bCs w:val="false"/>
                <w:i w:val="false"/>
                <w:iCs w:val="false"/>
                <w:sz w:val="14"/>
                <w:szCs w:val="14"/>
              </w:rPr>
              <w:t>Emergency exits to be kept clear at all times- signage provided. Where security locks in place, these MUST be unlocked when in use. Building user to check on arrival &amp; appoint a Fire Marshal.</w:t>
            </w:r>
          </w:p>
          <w:p>
            <w:pPr>
              <w:pStyle w:val="Normal"/>
              <w:widowControl/>
              <w:rPr>
                <w:b w:val="false"/>
                <w:bCs w:val="false"/>
              </w:rPr>
            </w:pPr>
            <w:r>
              <w:rPr>
                <w:b w:val="false"/>
                <w:bCs w:val="false"/>
                <w:i w:val="false"/>
                <w:iCs w:val="false"/>
                <w:sz w:val="14"/>
                <w:szCs w:val="14"/>
              </w:rPr>
              <w:t>Portable fire extinguishers provided; serviced and regularly checked</w:t>
            </w:r>
          </w:p>
          <w:p>
            <w:pPr>
              <w:pStyle w:val="Normal"/>
              <w:widowControl/>
              <w:rPr>
                <w:b w:val="false"/>
                <w:bCs w:val="false"/>
              </w:rPr>
            </w:pPr>
            <w:r>
              <w:rPr>
                <w:b w:val="false"/>
                <w:bCs w:val="false"/>
                <w:i w:val="false"/>
                <w:iCs w:val="false"/>
                <w:sz w:val="14"/>
                <w:szCs w:val="14"/>
              </w:rPr>
              <w:t>All windows to be unlocked, shutters opened when building in use.</w:t>
            </w:r>
          </w:p>
          <w:p>
            <w:pPr>
              <w:pStyle w:val="Normal"/>
              <w:widowControl/>
              <w:rPr>
                <w:b w:val="false"/>
                <w:bCs w:val="false"/>
              </w:rPr>
            </w:pPr>
            <w:r>
              <w:rPr>
                <w:b w:val="false"/>
                <w:bCs w:val="false"/>
                <w:i w:val="false"/>
                <w:iCs w:val="false"/>
                <w:sz w:val="14"/>
                <w:szCs w:val="14"/>
              </w:rPr>
              <w:t>Rubbish to be placed in bins provided and removed from the building regularly.</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r>
      <w:tr>
        <w:trPr/>
        <w:tc>
          <w:tcPr>
            <w:tcW w:w="2159" w:type="dxa"/>
            <w:tcBorders>
              <w:start w:val="single" w:sz="4" w:space="0" w:color="000000"/>
              <w:bottom w:val="single" w:sz="4" w:space="0" w:color="000000"/>
            </w:tcBorders>
          </w:tcPr>
          <w:p>
            <w:pPr>
              <w:pStyle w:val="Normal"/>
              <w:widowControl/>
              <w:rPr>
                <w:color w:val="000000"/>
                <w:sz w:val="14"/>
                <w:szCs w:val="14"/>
              </w:rPr>
            </w:pPr>
            <w:r>
              <w:rPr>
                <w:color w:val="000000"/>
                <w:sz w:val="14"/>
                <w:szCs w:val="14"/>
              </w:rPr>
              <w:t>Electric shock</w:t>
            </w:r>
          </w:p>
        </w:tc>
        <w:tc>
          <w:tcPr>
            <w:tcW w:w="2210" w:type="dxa"/>
            <w:tcBorders>
              <w:start w:val="single" w:sz="4" w:space="0" w:color="000000"/>
              <w:bottom w:val="single" w:sz="4" w:space="0" w:color="000000"/>
            </w:tcBorders>
          </w:tcPr>
          <w:p>
            <w:pPr>
              <w:pStyle w:val="Normal"/>
              <w:widowControl/>
              <w:rPr>
                <w:sz w:val="14"/>
                <w:szCs w:val="14"/>
              </w:rPr>
            </w:pPr>
            <w:r>
              <w:rPr>
                <w:sz w:val="14"/>
                <w:szCs w:val="14"/>
              </w:rPr>
              <w:t>All building users</w:t>
            </w:r>
          </w:p>
        </w:tc>
        <w:tc>
          <w:tcPr>
            <w:tcW w:w="1470" w:type="dxa"/>
            <w:tcBorders>
              <w:start w:val="single" w:sz="4" w:space="0" w:color="000000"/>
              <w:bottom w:val="single" w:sz="4" w:space="0" w:color="000000"/>
            </w:tcBorders>
          </w:tcPr>
          <w:p>
            <w:pPr>
              <w:pStyle w:val="TableContents"/>
              <w:bidi w:val="0"/>
              <w:jc w:val="center"/>
              <w:rPr>
                <w:i w:val="false"/>
                <w:i w:val="false"/>
                <w:iCs w:val="false"/>
              </w:rPr>
            </w:pPr>
            <w:r>
              <w:rPr>
                <w:i w:val="false"/>
                <w:iCs w:val="false"/>
              </w:rPr>
            </w:r>
          </w:p>
          <w:p>
            <w:pPr>
              <w:pStyle w:val="TableContents"/>
              <w:bidi w:val="0"/>
              <w:jc w:val="center"/>
              <w:rPr>
                <w:rFonts w:ascii="Nunito Sans" w:hAnsi="Nunito Sans"/>
                <w:i w:val="false"/>
                <w:i w:val="false"/>
                <w:iCs w:val="false"/>
                <w:sz w:val="16"/>
                <w:szCs w:val="16"/>
              </w:rPr>
            </w:pPr>
            <w:r>
              <w:rPr>
                <w:rFonts w:ascii="Nunito Sans" w:hAnsi="Nunito Sans"/>
                <w:i w:val="false"/>
                <w:iCs w:val="false"/>
                <w:sz w:val="16"/>
                <w:szCs w:val="16"/>
              </w:rPr>
              <w:t>M</w:t>
            </w:r>
          </w:p>
        </w:tc>
        <w:tc>
          <w:tcPr>
            <w:tcW w:w="7769" w:type="dxa"/>
            <w:tcBorders>
              <w:start w:val="single" w:sz="4" w:space="0" w:color="000000"/>
              <w:bottom w:val="single" w:sz="4" w:space="0" w:color="000000"/>
            </w:tcBorders>
          </w:tcPr>
          <w:p>
            <w:pPr>
              <w:pStyle w:val="Normal"/>
              <w:widowControl/>
              <w:rPr>
                <w:color w:val="000000"/>
                <w:sz w:val="14"/>
                <w:szCs w:val="14"/>
              </w:rPr>
            </w:pPr>
            <w:r>
              <w:rPr>
                <w:color w:val="000000"/>
                <w:sz w:val="14"/>
                <w:szCs w:val="14"/>
              </w:rPr>
              <w:t>All circuits fitted with RCD protection devices</w:t>
            </w:r>
          </w:p>
          <w:p>
            <w:pPr>
              <w:pStyle w:val="Normal"/>
              <w:widowControl/>
              <w:rPr>
                <w:color w:val="000000"/>
                <w:sz w:val="14"/>
                <w:szCs w:val="14"/>
              </w:rPr>
            </w:pPr>
            <w:r>
              <w:rPr>
                <w:color w:val="000000"/>
                <w:sz w:val="14"/>
                <w:szCs w:val="14"/>
              </w:rPr>
              <w:t>Users MUST NOT interfere with any electrical installations</w:t>
            </w:r>
          </w:p>
          <w:p>
            <w:pPr>
              <w:pStyle w:val="Normal"/>
              <w:widowControl/>
              <w:rPr>
                <w:color w:val="000000"/>
                <w:sz w:val="14"/>
                <w:szCs w:val="14"/>
              </w:rPr>
            </w:pPr>
            <w:r>
              <w:rPr>
                <w:color w:val="000000"/>
                <w:sz w:val="14"/>
                <w:szCs w:val="14"/>
              </w:rPr>
              <w:t>Portable appliances belonging to the site to be regularly PAT tested, failed appliances to be removed.</w:t>
            </w:r>
          </w:p>
          <w:p>
            <w:pPr>
              <w:pStyle w:val="Normal"/>
              <w:widowControl/>
              <w:rPr>
                <w:color w:val="000000"/>
                <w:sz w:val="14"/>
                <w:szCs w:val="14"/>
              </w:rPr>
            </w:pPr>
            <w:r>
              <w:rPr>
                <w:color w:val="000000"/>
                <w:sz w:val="14"/>
                <w:szCs w:val="14"/>
              </w:rPr>
              <w:t>Use of extension cables kept to a minimum and ONLY be run externally from the buildings with prior approval.</w:t>
            </w:r>
          </w:p>
          <w:p>
            <w:pPr>
              <w:pStyle w:val="Normal"/>
              <w:widowControl/>
              <w:rPr>
                <w:color w:val="000000"/>
                <w:sz w:val="14"/>
                <w:szCs w:val="14"/>
              </w:rPr>
            </w:pPr>
            <w:r>
              <w:rPr>
                <w:color w:val="000000"/>
                <w:sz w:val="14"/>
                <w:szCs w:val="14"/>
              </w:rPr>
              <w:t>Regular 5 year fixed wire testing completed by appropriately qualified electrician.</w:t>
            </w:r>
          </w:p>
          <w:p>
            <w:pPr>
              <w:pStyle w:val="Normal"/>
              <w:widowControl/>
              <w:rPr>
                <w:b/>
                <w:bCs/>
              </w:rPr>
            </w:pPr>
            <w:r>
              <w:rPr>
                <w:b/>
                <w:bCs/>
                <w:color w:val="000000"/>
                <w:sz w:val="14"/>
                <w:szCs w:val="14"/>
              </w:rPr>
              <w:t>Users own electrical equipment subject to own risk assessments – see policy in folder</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Leaks from gas appliances or fumes from incorrect operation of appliances.</w:t>
            </w:r>
          </w:p>
          <w:p>
            <w:pPr>
              <w:pStyle w:val="Normal"/>
              <w:widowControl/>
              <w:rPr>
                <w:b w:val="false"/>
                <w:bCs w:val="false"/>
                <w:sz w:val="14"/>
                <w:szCs w:val="14"/>
              </w:rPr>
            </w:pPr>
            <w:r>
              <w:rPr>
                <w:b w:val="false"/>
                <w:bCs w:val="false"/>
                <w:sz w:val="14"/>
                <w:szCs w:val="14"/>
              </w:rPr>
              <w:t>Danger of fire/explosion</w:t>
            </w:r>
          </w:p>
        </w:tc>
        <w:tc>
          <w:tcPr>
            <w:tcW w:w="2210" w:type="dxa"/>
            <w:tcBorders>
              <w:start w:val="single" w:sz="4" w:space="0" w:color="000000"/>
              <w:bottom w:val="single" w:sz="4" w:space="0" w:color="000000"/>
            </w:tcBorders>
          </w:tcPr>
          <w:p>
            <w:pPr>
              <w:pStyle w:val="Normal"/>
              <w:widowControl/>
              <w:rPr>
                <w:sz w:val="14"/>
                <w:szCs w:val="14"/>
              </w:rPr>
            </w:pPr>
            <w:r>
              <w:rPr>
                <w:sz w:val="14"/>
                <w:szCs w:val="14"/>
              </w:rPr>
              <w:t>All building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769" w:type="dxa"/>
            <w:tcBorders>
              <w:start w:val="single" w:sz="4" w:space="0" w:color="000000"/>
              <w:bottom w:val="single" w:sz="4" w:space="0" w:color="000000"/>
            </w:tcBorders>
          </w:tcPr>
          <w:p>
            <w:pPr>
              <w:pStyle w:val="Normal"/>
              <w:widowControl/>
              <w:rPr>
                <w:color w:val="000000"/>
                <w:sz w:val="14"/>
                <w:szCs w:val="14"/>
              </w:rPr>
            </w:pPr>
            <w:r>
              <w:rPr>
                <w:color w:val="000000"/>
                <w:sz w:val="14"/>
                <w:szCs w:val="14"/>
              </w:rPr>
              <w:t>Fixed gas appliances to be serviced regularly by appropriately qualified contractors</w:t>
            </w:r>
          </w:p>
          <w:p>
            <w:pPr>
              <w:pStyle w:val="Normal"/>
              <w:widowControl/>
              <w:rPr>
                <w:color w:val="000000"/>
                <w:sz w:val="14"/>
                <w:szCs w:val="14"/>
              </w:rPr>
            </w:pPr>
            <w:r>
              <w:rPr>
                <w:color w:val="000000"/>
                <w:sz w:val="14"/>
                <w:szCs w:val="14"/>
              </w:rPr>
              <w:t>Extraction system MUST be used when cooker is in operation. Automatic interlock system in place.</w:t>
            </w:r>
          </w:p>
          <w:p>
            <w:pPr>
              <w:pStyle w:val="Normal"/>
              <w:widowControl/>
              <w:rPr>
                <w:color w:val="000000"/>
                <w:sz w:val="14"/>
                <w:szCs w:val="14"/>
              </w:rPr>
            </w:pPr>
            <w:r>
              <w:rPr>
                <w:color w:val="000000"/>
                <w:sz w:val="14"/>
                <w:szCs w:val="14"/>
              </w:rPr>
              <w:t>Users MUST NOT interfere with any gas installations</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Bunk beds/fall from height</w:t>
            </w:r>
          </w:p>
        </w:tc>
        <w:tc>
          <w:tcPr>
            <w:tcW w:w="2210" w:type="dxa"/>
            <w:tcBorders>
              <w:start w:val="single" w:sz="4" w:space="0" w:color="000000"/>
              <w:bottom w:val="single" w:sz="4" w:space="0" w:color="000000"/>
            </w:tcBorders>
          </w:tcPr>
          <w:p>
            <w:pPr>
              <w:pStyle w:val="Normal"/>
              <w:widowControl/>
              <w:rPr>
                <w:sz w:val="14"/>
                <w:szCs w:val="14"/>
              </w:rPr>
            </w:pPr>
            <w:r>
              <w:rPr>
                <w:sz w:val="14"/>
                <w:szCs w:val="14"/>
              </w:rPr>
              <w:t>All building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769" w:type="dxa"/>
            <w:tcBorders>
              <w:start w:val="single" w:sz="4" w:space="0" w:color="000000"/>
              <w:bottom w:val="single" w:sz="4" w:space="0" w:color="000000"/>
            </w:tcBorders>
          </w:tcPr>
          <w:p>
            <w:pPr>
              <w:pStyle w:val="Normal"/>
              <w:widowControl/>
              <w:rPr>
                <w:sz w:val="14"/>
                <w:szCs w:val="14"/>
              </w:rPr>
            </w:pPr>
            <w:r>
              <w:rPr>
                <w:sz w:val="14"/>
                <w:szCs w:val="14"/>
              </w:rPr>
              <w:t>Top bunks fitted with side panels and fixed ladders</w:t>
            </w:r>
          </w:p>
          <w:p>
            <w:pPr>
              <w:pStyle w:val="Normal"/>
              <w:widowControl/>
              <w:rPr>
                <w:sz w:val="14"/>
                <w:szCs w:val="14"/>
              </w:rPr>
            </w:pPr>
            <w:r>
              <w:rPr>
                <w:sz w:val="14"/>
                <w:szCs w:val="14"/>
              </w:rPr>
              <w:t>Top bunks only to be used for sleeping or resting</w:t>
            </w:r>
          </w:p>
          <w:p>
            <w:pPr>
              <w:pStyle w:val="Normal"/>
              <w:widowControl/>
              <w:rPr>
                <w:sz w:val="14"/>
                <w:szCs w:val="14"/>
              </w:rPr>
            </w:pPr>
            <w:r>
              <w:rPr>
                <w:sz w:val="14"/>
                <w:szCs w:val="14"/>
              </w:rPr>
              <w:t>Infirm or nervous young people to be accommodated on bottom bunks</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sz w:val="14"/>
                <w:szCs w:val="14"/>
              </w:rPr>
            </w:pPr>
            <w:r>
              <w:rPr>
                <w:sz w:val="14"/>
                <w:szCs w:val="14"/>
              </w:rPr>
              <w:t>Door hinges</w:t>
            </w:r>
          </w:p>
        </w:tc>
        <w:tc>
          <w:tcPr>
            <w:tcW w:w="2210" w:type="dxa"/>
            <w:tcBorders>
              <w:start w:val="single" w:sz="4" w:space="0" w:color="000000"/>
              <w:bottom w:val="single" w:sz="4" w:space="0" w:color="000000"/>
            </w:tcBorders>
          </w:tcPr>
          <w:p>
            <w:pPr>
              <w:pStyle w:val="Normal"/>
              <w:widowControl/>
              <w:rPr>
                <w:sz w:val="14"/>
                <w:szCs w:val="14"/>
              </w:rPr>
            </w:pPr>
            <w:r>
              <w:rPr>
                <w:sz w:val="14"/>
                <w:szCs w:val="14"/>
              </w:rPr>
              <w:t>All building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769" w:type="dxa"/>
            <w:tcBorders>
              <w:start w:val="single" w:sz="4" w:space="0" w:color="000000"/>
              <w:bottom w:val="single" w:sz="4" w:space="0" w:color="000000"/>
            </w:tcBorders>
          </w:tcPr>
          <w:p>
            <w:pPr>
              <w:pStyle w:val="Normal"/>
              <w:widowControl/>
              <w:rPr>
                <w:color w:val="000000"/>
                <w:sz w:val="14"/>
                <w:szCs w:val="14"/>
              </w:rPr>
            </w:pPr>
            <w:r>
              <w:rPr>
                <w:color w:val="000000"/>
                <w:sz w:val="14"/>
                <w:szCs w:val="14"/>
              </w:rPr>
              <w:t>Doors fitted with safety door closers; regularly checked</w:t>
            </w:r>
          </w:p>
          <w:p>
            <w:pPr>
              <w:pStyle w:val="Normal"/>
              <w:widowControl/>
              <w:rPr>
                <w:color w:val="000000"/>
                <w:sz w:val="14"/>
                <w:szCs w:val="14"/>
              </w:rPr>
            </w:pPr>
            <w:r>
              <w:rPr>
                <w:color w:val="000000"/>
                <w:sz w:val="14"/>
                <w:szCs w:val="14"/>
              </w:rPr>
              <w:t>Doors fitted with finger guards; regularly checked</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Kitchen</w:t>
            </w:r>
          </w:p>
          <w:p>
            <w:pPr>
              <w:pStyle w:val="Normal"/>
              <w:widowControl/>
              <w:rPr>
                <w:b w:val="false"/>
                <w:bCs w:val="false"/>
                <w:sz w:val="14"/>
                <w:szCs w:val="14"/>
              </w:rPr>
            </w:pPr>
            <w:r>
              <w:rPr>
                <w:b w:val="false"/>
                <w:bCs w:val="false"/>
                <w:sz w:val="14"/>
                <w:szCs w:val="14"/>
              </w:rPr>
              <w:t>burns/scalds</w:t>
            </w:r>
          </w:p>
          <w:p>
            <w:pPr>
              <w:pStyle w:val="Normal"/>
              <w:widowControl/>
              <w:rPr>
                <w:b w:val="false"/>
                <w:bCs w:val="false"/>
                <w:sz w:val="14"/>
                <w:szCs w:val="14"/>
              </w:rPr>
            </w:pPr>
            <w:r>
              <w:rPr>
                <w:b w:val="false"/>
                <w:bCs w:val="false"/>
                <w:sz w:val="14"/>
                <w:szCs w:val="14"/>
              </w:rPr>
              <w:t>cuts by sharp utensils</w:t>
            </w:r>
          </w:p>
          <w:p>
            <w:pPr>
              <w:pStyle w:val="Normal"/>
              <w:widowControl/>
              <w:rPr>
                <w:b w:val="false"/>
                <w:bCs w:val="false"/>
                <w:sz w:val="14"/>
                <w:szCs w:val="14"/>
              </w:rPr>
            </w:pPr>
            <w:r>
              <w:rPr>
                <w:b w:val="false"/>
                <w:bCs w:val="false"/>
                <w:sz w:val="14"/>
                <w:szCs w:val="14"/>
              </w:rPr>
              <w:t>slips/trips/falls</w:t>
            </w:r>
          </w:p>
        </w:tc>
        <w:tc>
          <w:tcPr>
            <w:tcW w:w="2210" w:type="dxa"/>
            <w:tcBorders>
              <w:start w:val="single" w:sz="4" w:space="0" w:color="000000"/>
              <w:bottom w:val="single" w:sz="4" w:space="0" w:color="000000"/>
            </w:tcBorders>
          </w:tcPr>
          <w:p>
            <w:pPr>
              <w:pStyle w:val="Normal"/>
              <w:widowControl/>
              <w:rPr>
                <w:sz w:val="14"/>
                <w:szCs w:val="14"/>
              </w:rPr>
            </w:pPr>
            <w:r>
              <w:rPr>
                <w:sz w:val="14"/>
                <w:szCs w:val="14"/>
              </w:rPr>
              <w:t>All building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H</w:t>
            </w:r>
          </w:p>
        </w:tc>
        <w:tc>
          <w:tcPr>
            <w:tcW w:w="7769" w:type="dxa"/>
            <w:tcBorders>
              <w:start w:val="single" w:sz="4" w:space="0" w:color="000000"/>
              <w:bottom w:val="single" w:sz="4" w:space="0" w:color="000000"/>
            </w:tcBorders>
          </w:tcPr>
          <w:p>
            <w:pPr>
              <w:pStyle w:val="Normal"/>
              <w:widowControl/>
              <w:rPr>
                <w:color w:val="000000"/>
                <w:sz w:val="14"/>
                <w:szCs w:val="14"/>
              </w:rPr>
            </w:pPr>
            <w:r>
              <w:rPr>
                <w:color w:val="000000"/>
                <w:sz w:val="14"/>
                <w:szCs w:val="14"/>
              </w:rPr>
              <w:t>Overall kitchen supervision by identified competent person</w:t>
            </w:r>
          </w:p>
          <w:p>
            <w:pPr>
              <w:pStyle w:val="Normal"/>
              <w:widowControl/>
              <w:rPr>
                <w:color w:val="000000"/>
                <w:sz w:val="14"/>
                <w:szCs w:val="14"/>
              </w:rPr>
            </w:pPr>
            <w:r>
              <w:rPr>
                <w:color w:val="000000"/>
                <w:sz w:val="14"/>
                <w:szCs w:val="14"/>
              </w:rPr>
              <w:t>Good housekeeping- spills cleared immediately, warning signage available</w:t>
            </w:r>
          </w:p>
          <w:p>
            <w:pPr>
              <w:pStyle w:val="Normal"/>
              <w:widowControl/>
              <w:rPr>
                <w:color w:val="000000"/>
                <w:sz w:val="14"/>
                <w:szCs w:val="14"/>
              </w:rPr>
            </w:pPr>
            <w:r>
              <w:rPr>
                <w:color w:val="000000"/>
                <w:sz w:val="14"/>
                <w:szCs w:val="14"/>
              </w:rPr>
              <w:t>Appropriate cleaning materials and equipment supplied.</w:t>
            </w:r>
          </w:p>
          <w:p>
            <w:pPr>
              <w:pStyle w:val="Normal"/>
              <w:widowControl/>
              <w:rPr>
                <w:b/>
                <w:bCs/>
              </w:rPr>
            </w:pPr>
            <w:r>
              <w:rPr>
                <w:b/>
                <w:bCs/>
                <w:color w:val="000000"/>
                <w:sz w:val="14"/>
                <w:szCs w:val="14"/>
              </w:rPr>
              <w:t>This element is subject to buildings users own risk assessments</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Cooking, food storage &amp; preparation</w:t>
            </w:r>
          </w:p>
          <w:p>
            <w:pPr>
              <w:pStyle w:val="Normal"/>
              <w:widowControl/>
              <w:rPr>
                <w:b w:val="false"/>
                <w:bCs w:val="false"/>
                <w:sz w:val="14"/>
                <w:szCs w:val="14"/>
              </w:rPr>
            </w:pPr>
            <w:r>
              <w:rPr>
                <w:b w:val="false"/>
                <w:bCs w:val="false"/>
                <w:sz w:val="14"/>
                <w:szCs w:val="14"/>
              </w:rPr>
            </w:r>
          </w:p>
          <w:p>
            <w:pPr>
              <w:pStyle w:val="Normal"/>
              <w:widowControl/>
              <w:rPr>
                <w:b w:val="false"/>
                <w:bCs w:val="false"/>
                <w:sz w:val="14"/>
                <w:szCs w:val="14"/>
              </w:rPr>
            </w:pPr>
            <w:r>
              <w:rPr>
                <w:b w:val="false"/>
                <w:bCs w:val="false"/>
                <w:sz w:val="14"/>
                <w:szCs w:val="14"/>
              </w:rPr>
              <w:t>Allergies &amp; Hygiene</w:t>
            </w:r>
          </w:p>
        </w:tc>
        <w:tc>
          <w:tcPr>
            <w:tcW w:w="2210" w:type="dxa"/>
            <w:tcBorders>
              <w:start w:val="single" w:sz="4" w:space="0" w:color="000000"/>
              <w:bottom w:val="single" w:sz="4" w:space="0" w:color="000000"/>
            </w:tcBorders>
          </w:tcPr>
          <w:p>
            <w:pPr>
              <w:pStyle w:val="Normal"/>
              <w:widowControl/>
              <w:rPr>
                <w:sz w:val="14"/>
                <w:szCs w:val="14"/>
              </w:rPr>
            </w:pPr>
            <w:r>
              <w:rPr>
                <w:b w:val="false"/>
                <w:bCs w:val="false"/>
                <w:sz w:val="14"/>
                <w:szCs w:val="14"/>
              </w:rPr>
              <w:t>All building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76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Refrigeration and storage facilities are provided</w:t>
            </w:r>
          </w:p>
          <w:p>
            <w:pPr>
              <w:pStyle w:val="Normal"/>
              <w:widowControl/>
              <w:rPr>
                <w:b w:val="false"/>
                <w:bCs w:val="false"/>
                <w:sz w:val="14"/>
                <w:szCs w:val="14"/>
              </w:rPr>
            </w:pPr>
            <w:r>
              <w:rPr>
                <w:b w:val="false"/>
                <w:bCs w:val="false"/>
                <w:sz w:val="14"/>
                <w:szCs w:val="14"/>
              </w:rPr>
              <w:t>Kitchen cleanliness is maintained by site, users are required to thoroughly clean and remove surplus food/waste before departure</w:t>
            </w:r>
          </w:p>
          <w:p>
            <w:pPr>
              <w:pStyle w:val="Normal"/>
              <w:widowControl/>
              <w:rPr>
                <w:b w:val="false"/>
                <w:bCs w:val="false"/>
                <w:sz w:val="14"/>
                <w:szCs w:val="14"/>
              </w:rPr>
            </w:pPr>
            <w:r>
              <w:rPr>
                <w:b w:val="false"/>
                <w:bCs w:val="false"/>
                <w:sz w:val="14"/>
                <w:szCs w:val="14"/>
              </w:rPr>
            </w:r>
          </w:p>
          <w:p>
            <w:pPr>
              <w:pStyle w:val="Normal"/>
              <w:widowControl/>
              <w:rPr>
                <w:b w:val="false"/>
                <w:bCs w:val="false"/>
                <w:sz w:val="14"/>
                <w:szCs w:val="14"/>
              </w:rPr>
            </w:pPr>
            <w:r>
              <w:rPr>
                <w:b w:val="false"/>
                <w:bCs w:val="false"/>
                <w:sz w:val="14"/>
                <w:szCs w:val="14"/>
              </w:rPr>
              <w:t>Allergens and hygiene posters displayed in kitchen area</w:t>
            </w:r>
          </w:p>
          <w:p>
            <w:pPr>
              <w:pStyle w:val="Normal"/>
              <w:widowControl/>
              <w:rPr>
                <w:b w:val="false"/>
                <w:bCs w:val="false"/>
                <w:sz w:val="14"/>
                <w:szCs w:val="14"/>
              </w:rPr>
            </w:pPr>
            <w:r>
              <w:rPr>
                <w:b w:val="false"/>
                <w:bCs w:val="false"/>
                <w:sz w:val="14"/>
                <w:szCs w:val="14"/>
              </w:rPr>
            </w:r>
          </w:p>
          <w:p>
            <w:pPr>
              <w:pStyle w:val="Normal"/>
              <w:widowControl/>
              <w:rPr>
                <w:b w:val="false"/>
                <w:bCs w:val="false"/>
                <w:sz w:val="14"/>
                <w:szCs w:val="14"/>
              </w:rPr>
            </w:pPr>
            <w:r>
              <w:rPr>
                <w:b w:val="false"/>
                <w:bCs w:val="false"/>
                <w:sz w:val="14"/>
                <w:szCs w:val="14"/>
              </w:rPr>
              <w:t>Annual deep clean of kitchens undertaken by external contractor including extraction system</w:t>
            </w:r>
          </w:p>
          <w:p>
            <w:pPr>
              <w:pStyle w:val="Normal"/>
              <w:widowControl/>
              <w:rPr>
                <w:b w:val="false"/>
                <w:bCs w:val="false"/>
                <w:sz w:val="14"/>
                <w:szCs w:val="14"/>
              </w:rPr>
            </w:pPr>
            <w:r>
              <w:rPr>
                <w:b w:val="false"/>
                <w:bCs w:val="false"/>
                <w:sz w:val="14"/>
                <w:szCs w:val="14"/>
              </w:rPr>
              <w:t>Electronic fly catchers are provided</w:t>
            </w:r>
          </w:p>
          <w:p>
            <w:pPr>
              <w:pStyle w:val="Normal"/>
              <w:widowControl/>
              <w:rPr/>
            </w:pPr>
            <w:r>
              <w:rPr>
                <w:b/>
                <w:bCs/>
                <w:sz w:val="14"/>
                <w:szCs w:val="14"/>
              </w:rPr>
              <w:t>This element is subject to buildings users own risk assessments</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Carbon monoxide</w:t>
            </w:r>
          </w:p>
        </w:tc>
        <w:tc>
          <w:tcPr>
            <w:tcW w:w="2210" w:type="dxa"/>
            <w:tcBorders>
              <w:start w:val="single" w:sz="4" w:space="0" w:color="000000"/>
              <w:bottom w:val="single" w:sz="4" w:space="0" w:color="000000"/>
            </w:tcBorders>
          </w:tcPr>
          <w:p>
            <w:pPr>
              <w:pStyle w:val="Normal"/>
              <w:widowControl/>
              <w:rPr>
                <w:sz w:val="14"/>
                <w:szCs w:val="14"/>
              </w:rPr>
            </w:pPr>
            <w:r>
              <w:rPr>
                <w:b w:val="false"/>
                <w:bCs w:val="false"/>
                <w:sz w:val="14"/>
                <w:szCs w:val="14"/>
              </w:rPr>
              <w:t>All building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76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Carbon monoxide detectors are situated in all buildings; regularly checked</w:t>
            </w:r>
          </w:p>
          <w:p>
            <w:pPr>
              <w:pStyle w:val="Normal"/>
              <w:widowControl/>
              <w:rPr>
                <w:b w:val="false"/>
                <w:bCs w:val="false"/>
                <w:sz w:val="14"/>
                <w:szCs w:val="14"/>
              </w:rPr>
            </w:pPr>
            <w:r>
              <w:rPr>
                <w:b w:val="false"/>
                <w:bCs w:val="false"/>
                <w:sz w:val="14"/>
                <w:szCs w:val="14"/>
              </w:rPr>
              <w:t>Poster on notice board regarding symptoms of carbon monoxide poisening.</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Legionella</w:t>
            </w:r>
          </w:p>
        </w:tc>
        <w:tc>
          <w:tcPr>
            <w:tcW w:w="2210" w:type="dxa"/>
            <w:tcBorders>
              <w:start w:val="single" w:sz="4" w:space="0" w:color="000000"/>
              <w:bottom w:val="single" w:sz="4" w:space="0" w:color="000000"/>
            </w:tcBorders>
          </w:tcPr>
          <w:p>
            <w:pPr>
              <w:pStyle w:val="Normal"/>
              <w:widowControl/>
              <w:rPr>
                <w:sz w:val="14"/>
                <w:szCs w:val="14"/>
              </w:rPr>
            </w:pPr>
            <w:r>
              <w:rPr>
                <w:b w:val="false"/>
                <w:bCs w:val="false"/>
                <w:sz w:val="14"/>
                <w:szCs w:val="14"/>
              </w:rPr>
              <w:t>All building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76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See separate Legionella Risk assessment &amp; management plan</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Asbestos</w:t>
            </w:r>
          </w:p>
        </w:tc>
        <w:tc>
          <w:tcPr>
            <w:tcW w:w="2210" w:type="dxa"/>
            <w:tcBorders>
              <w:start w:val="single" w:sz="4" w:space="0" w:color="000000"/>
              <w:bottom w:val="single" w:sz="4" w:space="0" w:color="000000"/>
            </w:tcBorders>
          </w:tcPr>
          <w:p>
            <w:pPr>
              <w:pStyle w:val="Normal"/>
              <w:widowControl/>
              <w:rPr>
                <w:sz w:val="14"/>
                <w:szCs w:val="14"/>
              </w:rPr>
            </w:pPr>
            <w:r>
              <w:rPr>
                <w:b w:val="false"/>
                <w:bCs w:val="false"/>
                <w:sz w:val="14"/>
                <w:szCs w:val="14"/>
              </w:rPr>
              <w:t>All building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769" w:type="dxa"/>
            <w:tcBorders>
              <w:start w:val="single" w:sz="4" w:space="0" w:color="000000"/>
              <w:bottom w:val="single" w:sz="4" w:space="0" w:color="000000"/>
            </w:tcBorders>
          </w:tcPr>
          <w:p>
            <w:pPr>
              <w:pStyle w:val="Normal"/>
              <w:widowControl/>
              <w:rPr>
                <w:b w:val="false"/>
                <w:bCs w:val="false"/>
              </w:rPr>
            </w:pPr>
            <w:r>
              <w:rPr>
                <w:b w:val="false"/>
                <w:bCs w:val="false"/>
                <w:sz w:val="14"/>
                <w:szCs w:val="14"/>
              </w:rPr>
              <w:t>See separate Asbestos management plan</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Inclusion</w:t>
            </w:r>
          </w:p>
        </w:tc>
        <w:tc>
          <w:tcPr>
            <w:tcW w:w="2210"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All building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tc>
        <w:tc>
          <w:tcPr>
            <w:tcW w:w="7769" w:type="dxa"/>
            <w:tcBorders>
              <w:start w:val="single" w:sz="4" w:space="0" w:color="000000"/>
              <w:bottom w:val="single" w:sz="4" w:space="0" w:color="000000"/>
            </w:tcBorders>
          </w:tcPr>
          <w:p>
            <w:pPr>
              <w:pStyle w:val="Normal"/>
              <w:widowControl/>
              <w:rPr>
                <w:b w:val="false"/>
                <w:bCs w:val="false"/>
              </w:rPr>
            </w:pPr>
            <w:r>
              <w:rPr>
                <w:b w:val="false"/>
                <w:bCs w:val="false"/>
                <w:color w:val="000000"/>
                <w:sz w:val="14"/>
                <w:szCs w:val="14"/>
              </w:rPr>
              <w:t>Where possible all adaptations have been made to accommodate occupants who use mobility aids: the Ashton centre has a wet room; John Briggs is built on 1 level; the Lodge is less accessible due to steps into the building. Users need to follow their own risk assessments to ensure safe evacuation in case of fire/emergencies.</w:t>
            </w:r>
          </w:p>
          <w:p>
            <w:pPr>
              <w:pStyle w:val="Normal"/>
              <w:widowControl/>
              <w:rPr/>
            </w:pPr>
            <w:r>
              <w:rPr>
                <w:b/>
                <w:bCs/>
                <w:color w:val="000000"/>
                <w:sz w:val="14"/>
                <w:szCs w:val="14"/>
              </w:rPr>
              <w:t>This element is subject to buildings users own risk assessments</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rFonts w:ascii="Nunito Sans" w:hAnsi="Nunito Sans"/>
                <w:b w:val="false"/>
                <w:bCs w:val="false"/>
                <w:sz w:val="14"/>
                <w:szCs w:val="14"/>
              </w:rPr>
              <w:t>Board games/outdoor games</w:t>
            </w:r>
          </w:p>
        </w:tc>
        <w:tc>
          <w:tcPr>
            <w:tcW w:w="2210" w:type="dxa"/>
            <w:tcBorders>
              <w:start w:val="single" w:sz="4" w:space="0" w:color="000000"/>
              <w:bottom w:val="single" w:sz="4" w:space="0" w:color="000000"/>
            </w:tcBorders>
          </w:tcPr>
          <w:p>
            <w:pPr>
              <w:pStyle w:val="Normal"/>
              <w:widowControl/>
              <w:rPr>
                <w:i w:val="false"/>
                <w:i w:val="false"/>
                <w:iCs w:val="false"/>
              </w:rPr>
            </w:pPr>
            <w:r>
              <w:rPr>
                <w:rFonts w:ascii="Nunito Sans" w:hAnsi="Nunito Sans"/>
                <w:b w:val="false"/>
                <w:bCs w:val="false"/>
                <w:i w:val="false"/>
                <w:iCs w:val="false"/>
                <w:sz w:val="14"/>
                <w:szCs w:val="14"/>
              </w:rPr>
              <w:t>All building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769" w:type="dxa"/>
            <w:tcBorders>
              <w:start w:val="single" w:sz="4" w:space="0" w:color="000000"/>
              <w:bottom w:val="single" w:sz="4" w:space="0" w:color="000000"/>
            </w:tcBorders>
          </w:tcPr>
          <w:p>
            <w:pPr>
              <w:pStyle w:val="Normal"/>
              <w:widowControl/>
              <w:rPr>
                <w:b w:val="false"/>
                <w:bCs w:val="false"/>
              </w:rPr>
            </w:pPr>
            <w:r>
              <w:rPr>
                <w:b w:val="false"/>
                <w:bCs w:val="false"/>
                <w:color w:val="000000"/>
                <w:sz w:val="14"/>
                <w:szCs w:val="14"/>
              </w:rPr>
              <w:t>Board games are provided for use inside the building. Please note small pieces in some games &amp; follow age guidelines on the boxes</w:t>
            </w:r>
          </w:p>
          <w:p>
            <w:pPr>
              <w:pStyle w:val="Normal"/>
              <w:widowControl/>
              <w:rPr>
                <w:b w:val="false"/>
                <w:bCs w:val="false"/>
              </w:rPr>
            </w:pPr>
            <w:r>
              <w:rPr>
                <w:b w:val="false"/>
                <w:bCs w:val="false"/>
                <w:color w:val="000000"/>
                <w:sz w:val="14"/>
                <w:szCs w:val="14"/>
              </w:rPr>
              <w:t>Outdoor games, please ensure supervised use of games.</w:t>
            </w:r>
          </w:p>
          <w:p>
            <w:pPr>
              <w:pStyle w:val="Normal"/>
              <w:widowControl/>
              <w:rPr/>
            </w:pPr>
            <w:r>
              <w:rPr>
                <w:rFonts w:ascii="Nunito Sans" w:hAnsi="Nunito Sans"/>
                <w:b/>
                <w:bCs/>
                <w:color w:val="000000"/>
                <w:sz w:val="14"/>
                <w:szCs w:val="14"/>
              </w:rPr>
              <w:t>This element is subject to buildings users own risk assessments</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bl>
    <w:p>
      <w:pPr>
        <w:pStyle w:val="Normal"/>
        <w:bidi w:val="0"/>
        <w:jc w:val="start"/>
        <w:rPr>
          <w:rFonts w:ascii="Nunito Sans" w:hAnsi="Nunito Sans"/>
        </w:rPr>
      </w:pPr>
      <w:r>
        <w:rPr>
          <w:rFonts w:ascii="Nunito Sans" w:hAnsi="Nunito Sans"/>
        </w:rPr>
      </w:r>
    </w:p>
    <w:p>
      <w:pPr>
        <w:pStyle w:val="NormalWeb"/>
        <w:spacing w:before="280" w:after="280"/>
        <w:rPr>
          <w:rFonts w:ascii="Nunito Sans" w:hAnsi="Nunito Sans"/>
          <w:sz w:val="16"/>
          <w:szCs w:val="16"/>
        </w:rPr>
      </w:pPr>
      <w:r>
        <w:rPr>
          <w:sz w:val="16"/>
          <w:szCs w:val="16"/>
        </w:rPr>
        <w:t xml:space="preserve">Don‘t forget, as part of your programme planning, you should have contingency activities in reserve just in case you can’t do what was planned or you need to stop half way through. Make sure this is shared with those involved, so everyone knows how to respond. You should have risk assessed contingency activities prior to them taking place and communicated key information to those involved as with all activities. </w:t>
      </w:r>
    </w:p>
    <w:sectPr>
      <w:footerReference w:type="default" r:id="rId3"/>
      <w:type w:val="nextPage"/>
      <w:pgSz w:orient="landscape" w:w="16838" w:h="11906"/>
      <w:pgMar w:left="1134" w:right="1134" w:gutter="0" w:header="0" w:top="1134" w:footer="1134" w:bottom="170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Nunito Sans">
    <w:charset w:val="00" w:characterSet="windows-1252"/>
    <w:family w:val="roman"/>
    <w:pitch w:val="variable"/>
  </w:font>
  <w:font w:name="Nunito San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PTO</w:t>
    </w:r>
  </w:p>
</w:ft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09"/>
        <w:tab w:val="center" w:pos="7285" w:leader="none"/>
        <w:tab w:val="right" w:pos="14570" w:leader="none"/>
      </w:tabs>
    </w:pPr>
    <w:rPr/>
  </w:style>
  <w:style w:type="paragraph" w:styleId="Footer">
    <w:name w:val="Footer"/>
    <w:basedOn w:val="HeaderandFooter"/>
    <w:pPr>
      <w:suppressLineNumbers/>
    </w:pPr>
    <w:rPr/>
  </w:style>
  <w:style w:type="paragraph" w:styleId="NormalWeb">
    <w:name w:val="Normal (Web)"/>
    <w:basedOn w:val="Normal"/>
    <w:qFormat/>
    <w:pPr>
      <w:widowControl/>
      <w:spacing w:beforeAutospacing="1" w:afterAutospacing="1"/>
    </w:pPr>
    <w:rPr>
      <w:rFonts w:ascii="Times New Roman" w:hAnsi="Times New Roman" w:eastAsia="Times New Roman" w:cs="Times New Roman"/>
      <w:sz w:val="24"/>
      <w:szCs w:val="24"/>
      <w:lang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2675</TotalTime>
  <Application>LibreOffice/7.6.5.2$Windows_X86_64 LibreOffice_project/38d5f62f85355c192ef5f1dd47c5c0c0c6d6598b</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2026-04-20T14:56:52Z</dcterms:created>
  <dc:creator/>
  <dc:description/>
  <dc:language>en-GB</dc:language>
  <cp:lastModifiedBy/>
  <dcterms:modified xsi:type="dcterms:W3CDTF">2026-05-13T13:29:33Z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