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bCs w:val="false"/>
                <w:sz w:val="20"/>
                <w:szCs w:val="20"/>
              </w:rPr>
              <w:t>Compass O</w:t>
            </w:r>
            <w:r>
              <w:rPr>
                <w:rFonts w:ascii="Nunito Sans" w:hAnsi="Nunito Sans"/>
                <w:b/>
                <w:bCs w:val="false"/>
                <w:sz w:val="20"/>
                <w:szCs w:val="20"/>
              </w:rPr>
              <w:t xml:space="preserve">rienteering course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rFonts w:eastAsia="Times New Roman" w:cs="Segoe UI" w:ascii="Segoe UI" w:hAnsi="Segoe UI"/>
                <w:sz w:val="14"/>
                <w:szCs w:val="14"/>
                <w:lang w:bidi="ar-SA"/>
              </w:rPr>
              <w:t>Overall supervision &amp; Control</w:t>
            </w:r>
          </w:p>
        </w:tc>
        <w:tc>
          <w:tcPr>
            <w:tcW w:w="221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A Leader in Charge (LinC) must be identified prior to or at the start of the session.</w:t>
            </w:r>
          </w:p>
          <w:p>
            <w:pPr>
              <w:pStyle w:val="Normal"/>
              <w:widowControl/>
              <w:rPr>
                <w:i w:val="false"/>
                <w:i w:val="false"/>
                <w:iCs w:val="false"/>
              </w:rPr>
            </w:pPr>
            <w:r>
              <w:rPr>
                <w:i w:val="false"/>
                <w:iCs w:val="false"/>
                <w:sz w:val="14"/>
                <w:szCs w:val="14"/>
              </w:rPr>
              <w:t>The LinC must be in attendance throughout the whole session</w:t>
            </w:r>
          </w:p>
          <w:p>
            <w:pPr>
              <w:pStyle w:val="Normal"/>
              <w:widowControl/>
              <w:rPr>
                <w:i w:val="false"/>
                <w:i w:val="false"/>
                <w:iCs w:val="false"/>
              </w:rPr>
            </w:pPr>
            <w:r>
              <w:rPr>
                <w:i w:val="false"/>
                <w:iCs w:val="false"/>
                <w:sz w:val="14"/>
                <w:szCs w:val="14"/>
              </w:rPr>
              <w:t>Appropriate ratio or leaders to young people to allow effective supervision, this will depend upon age and abilities of participants, to be determined by LinC</w:t>
            </w:r>
          </w:p>
          <w:p>
            <w:pPr>
              <w:pStyle w:val="Normal"/>
              <w:widowControl/>
              <w:rPr>
                <w:i w:val="false"/>
                <w:i w:val="false"/>
                <w:iCs w:val="false"/>
              </w:rPr>
            </w:pPr>
            <w:r>
              <w:rPr>
                <w:i w:val="false"/>
                <w:iCs w:val="false"/>
                <w:sz w:val="14"/>
                <w:szCs w:val="14"/>
              </w:rPr>
              <w:t>LinC to stop all activities immediately if the safety of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color w:val="000000"/>
              </w:rPr>
            </w:pPr>
            <w:r>
              <w:rPr>
                <w:color w:val="000000"/>
                <w:sz w:val="16"/>
                <w:szCs w:val="16"/>
              </w:rPr>
              <w:t>Orienteering Area</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color w:val="000000"/>
                <w:sz w:val="14"/>
                <w:szCs w:val="14"/>
              </w:rPr>
              <w:t>The course covers the whole site.</w:t>
            </w:r>
          </w:p>
          <w:p>
            <w:pPr>
              <w:pStyle w:val="Normal"/>
              <w:widowControl/>
              <w:rPr>
                <w:i w:val="false"/>
                <w:i w:val="false"/>
                <w:iCs w:val="false"/>
                <w:sz w:val="14"/>
                <w:szCs w:val="14"/>
              </w:rPr>
            </w:pPr>
            <w:r>
              <w:rPr>
                <w:i w:val="false"/>
                <w:iCs w:val="false"/>
                <w:color w:val="000000"/>
                <w:sz w:val="14"/>
                <w:szCs w:val="14"/>
              </w:rPr>
              <w:t>LinC to ensure clear boundaries are set for participants, taking into consideration Full Site Risk Assessment with regard to unauthorised areas within the site.</w:t>
            </w:r>
          </w:p>
          <w:p>
            <w:pPr>
              <w:pStyle w:val="Normal"/>
              <w:widowControl/>
              <w:rPr>
                <w:b/>
                <w:bCs/>
                <w:i w:val="false"/>
                <w:i w:val="false"/>
                <w:iCs w:val="false"/>
                <w:sz w:val="14"/>
                <w:szCs w:val="14"/>
              </w:rPr>
            </w:pPr>
            <w:r>
              <w:rPr>
                <w:b/>
                <w:bCs/>
                <w:i w:val="false"/>
                <w:iCs w:val="false"/>
                <w:color w:val="000000"/>
                <w:sz w:val="14"/>
                <w:szCs w:val="14"/>
              </w:rPr>
              <w:t>Users to have own risk assessment for participants independently following the course, as not under direct supervision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Equipment</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 xml:space="preserve">Cards are provided for participants to collect </w:t>
            </w:r>
            <w:r>
              <w:rPr>
                <w:b w:val="false"/>
                <w:bCs w:val="false"/>
                <w:sz w:val="14"/>
                <w:szCs w:val="14"/>
              </w:rPr>
              <w:t>information at each orienteering point.</w:t>
            </w:r>
          </w:p>
          <w:p>
            <w:pPr>
              <w:pStyle w:val="Normal"/>
              <w:widowControl/>
              <w:rPr>
                <w:sz w:val="14"/>
                <w:szCs w:val="14"/>
              </w:rPr>
            </w:pPr>
            <w:r>
              <w:rPr>
                <w:b w:val="false"/>
                <w:bCs w:val="false"/>
                <w:sz w:val="14"/>
                <w:szCs w:val="14"/>
              </w:rPr>
              <w:t>Compasses and pencils are provided, these MUST be returned on completion.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rPr>
            </w:pPr>
            <w:r>
              <w:rPr>
                <w:b w:val="false"/>
                <w:bCs w:val="false"/>
                <w:sz w:val="16"/>
                <w:szCs w:val="16"/>
              </w:rPr>
              <w:t>Weather</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BodyText"/>
              <w:widowControl/>
              <w:rPr>
                <w:b w:val="false"/>
                <w:bCs w:val="false"/>
                <w:sz w:val="14"/>
                <w:szCs w:val="14"/>
              </w:rPr>
            </w:pPr>
            <w:r>
              <w:rPr>
                <w:b w:val="false"/>
                <w:bCs w:val="false"/>
                <w:sz w:val="14"/>
                <w:szCs w:val="14"/>
              </w:rPr>
              <w:t>Sessions to be cancelled in the event of adverse weather. Decision to be made by LinC</w:t>
            </w:r>
          </w:p>
          <w:p>
            <w:pPr>
              <w:pStyle w:val="Normal"/>
              <w:widowControl/>
              <w:rPr>
                <w:b w:val="false"/>
                <w:bCs w:val="false"/>
                <w:sz w:val="14"/>
                <w:szCs w:val="14"/>
              </w:rPr>
            </w:pPr>
            <w:r>
              <w:rPr>
                <w:b w:val="false"/>
                <w:bCs w:val="false"/>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6"/>
                <w:szCs w:val="16"/>
              </w:rPr>
            </w:pPr>
            <w:r>
              <w:fldChar w:fldCharType="begin">
                <w:ffData>
                  <w:name w:val="Text1 Copy 11"/>
                  <w:enabled/>
                  <w:calcOnExit w:val="0"/>
                  <w:textInput/>
                </w:ffData>
              </w:fldChar>
            </w:r>
            <w:r>
              <w:rPr>
                <w:sz w:val="16"/>
                <w:b/>
                <w:szCs w:val="16"/>
              </w:rPr>
              <w:instrText xml:space="preserve"> FORMTEXT </w:instrText>
            </w:r>
            <w:r>
              <w:rPr>
                <w:b/>
                <w:sz w:val="16"/>
                <w:szCs w:val="16"/>
              </w:rPr>
            </w:r>
            <w:r>
              <w:rPr>
                <w:sz w:val="16"/>
                <w:b/>
                <w:szCs w:val="16"/>
              </w:rPr>
              <w:fldChar w:fldCharType="separate"/>
            </w:r>
            <w:r>
              <w:rPr>
                <w:b/>
                <w:sz w:val="16"/>
                <w:szCs w:val="16"/>
              </w:rPr>
            </w:r>
            <w:r>
              <w:rPr>
                <w:b w:val="false"/>
                <w:bCs w:val="false"/>
                <w:sz w:val="16"/>
                <w:szCs w:val="16"/>
              </w:rPr>
              <w:t>Behaviour  </w:t>
            </w:r>
          </w:p>
          <w:p>
            <w:pPr>
              <w:pStyle w:val="Normal"/>
              <w:widowControl/>
              <w:rPr>
                <w:sz w:val="16"/>
                <w:szCs w:val="16"/>
              </w:rPr>
            </w:pPr>
            <w:r>
              <w:rPr>
                <w:b/>
                <w:sz w:val="16"/>
                <w:szCs w:val="16"/>
              </w:rPr>
              <w:t>  </w:t>
            </w:r>
            <w:r/>
            <w:r>
              <w:rPr>
                <w:sz w:val="16"/>
                <w:b/>
                <w:szCs w:val="16"/>
              </w:rPr>
              <w:fldChar w:fldCharType="end"/>
            </w:r>
            <w:r>
              <w:rPr>
                <w:b/>
                <w:sz w:val="16"/>
                <w:szCs w:val="16"/>
              </w:rPr>
            </w:r>
          </w:p>
        </w:tc>
        <w:tc>
          <w:tcPr>
            <w:tcW w:w="2210" w:type="dxa"/>
            <w:tcBorders>
              <w:start w:val="single" w:sz="4" w:space="0" w:color="000000"/>
              <w:bottom w:val="single" w:sz="4" w:space="0" w:color="000000"/>
            </w:tcBorders>
          </w:tcPr>
          <w:p>
            <w:pPr>
              <w:pStyle w:val="Normal"/>
              <w:widowControl/>
              <w:rPr>
                <w:sz w:val="16"/>
                <w:szCs w:val="16"/>
              </w:rPr>
            </w:pPr>
            <w:r>
              <w:rPr>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Groups to be briefed by LinC on standards of expected behaviour</w:t>
            </w:r>
          </w:p>
          <w:p>
            <w:pPr>
              <w:pStyle w:val="Normal"/>
              <w:widowControl/>
              <w:rPr>
                <w:sz w:val="14"/>
                <w:szCs w:val="14"/>
              </w:rPr>
            </w:pPr>
            <w:r>
              <w:rPr>
                <w:b w:val="false"/>
                <w:bCs w:val="false"/>
                <w:sz w:val="14"/>
                <w:szCs w:val="14"/>
              </w:rPr>
              <w:t>LinC to supervise behaviour at all times with additional Leader support</w:t>
            </w:r>
          </w:p>
          <w:p>
            <w:pPr>
              <w:pStyle w:val="Normal"/>
              <w:widowControl/>
              <w:rPr>
                <w:sz w:val="14"/>
                <w:szCs w:val="14"/>
              </w:rPr>
            </w:pPr>
            <w:r>
              <w:rPr>
                <w:b w:val="false"/>
                <w:bCs w:val="false"/>
                <w:sz w:val="14"/>
                <w:szCs w:val="14"/>
              </w:rPr>
              <w:t>Persistent indiscipline may result in the young person being excluded from the session or the session may be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Segoe U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2643</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2026-04-30T10:10:21Z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