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Leaf Hammering</w:t>
            </w:r>
            <w:r>
              <w:rPr>
                <w:rFonts w:ascii="Nunito Sans" w:hAnsi="Nunito Sans"/>
                <w:b w:val="false"/>
                <w:bCs w:val="false"/>
                <w:sz w:val="20"/>
                <w:szCs w:val="20"/>
              </w:rPr>
              <w:t xml:space="preserve"> @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eastAsia="Times New Roman" w:cs="Segoe UI" w:ascii="Nunito Sans" w:hAnsi="Nunito Sans"/>
                <w:sz w:val="16"/>
                <w:szCs w:val="16"/>
                <w:lang w:bidi="ar-SA"/>
              </w:rPr>
              <w:t>Overall supervision &amp; Control</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 Leader in Charge (LinC) must be identified prior to or at the start of the session.</w:t>
            </w:r>
          </w:p>
          <w:p>
            <w:pPr>
              <w:pStyle w:val="Normal"/>
              <w:widowControl/>
              <w:rPr>
                <w:rFonts w:ascii="Nunito Sans" w:hAnsi="Nunito Sans"/>
                <w:sz w:val="16"/>
                <w:szCs w:val="16"/>
              </w:rPr>
            </w:pPr>
            <w:r>
              <w:rPr>
                <w:rFonts w:ascii="Nunito Sans" w:hAnsi="Nunito Sans"/>
                <w:i w:val="false"/>
                <w:iCs w:val="false"/>
                <w:sz w:val="16"/>
                <w:szCs w:val="16"/>
              </w:rPr>
              <w:t>The LinC must be in attendance throughout the whole session</w:t>
            </w:r>
          </w:p>
          <w:p>
            <w:pPr>
              <w:pStyle w:val="Normal"/>
              <w:widowControl/>
              <w:rPr>
                <w:rFonts w:ascii="Nunito Sans" w:hAnsi="Nunito Sans"/>
                <w:sz w:val="16"/>
                <w:szCs w:val="16"/>
              </w:rPr>
            </w:pPr>
            <w:r>
              <w:rPr>
                <w:rFonts w:ascii="Nunito Sans" w:hAnsi="Nunito Sans"/>
                <w:i w:val="false"/>
                <w:iCs w:val="false"/>
                <w:sz w:val="16"/>
                <w:szCs w:val="16"/>
              </w:rPr>
              <w:t>Appropriate ratio or leaders to young people to allow effective supervision, this will depend upon age and abilities of participants, to be determined by LinC</w:t>
            </w:r>
          </w:p>
          <w:p>
            <w:pPr>
              <w:pStyle w:val="Normal"/>
              <w:widowControl/>
              <w:rPr>
                <w:rFonts w:ascii="Nunito Sans" w:hAnsi="Nunito Sans"/>
                <w:sz w:val="16"/>
                <w:szCs w:val="16"/>
              </w:rPr>
            </w:pPr>
            <w:r>
              <w:rPr>
                <w:rFonts w:ascii="Nunito Sans" w:hAnsi="Nunito Sans"/>
                <w:i w:val="false"/>
                <w:iCs w:val="false"/>
                <w:sz w:val="16"/>
                <w:szCs w:val="16"/>
              </w:rPr>
              <w:t>LinC to stop all activities immediately if the safety of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Hitting fingers/hands/eyes/head</w:t>
            </w:r>
          </w:p>
          <w:p>
            <w:pPr>
              <w:pStyle w:val="Normal"/>
              <w:widowControl/>
              <w:rPr>
                <w:rFonts w:ascii="Nunito Sans" w:hAnsi="Nunito Sans"/>
                <w:sz w:val="16"/>
                <w:szCs w:val="16"/>
              </w:rPr>
            </w:pPr>
            <w:r>
              <w:rPr>
                <w:rFonts w:ascii="Nunito Sans" w:hAnsi="Nunito Sans"/>
                <w:color w:val="000000"/>
                <w:sz w:val="16"/>
                <w:szCs w:val="16"/>
              </w:rPr>
              <w:t>Stings/cuts from vegetation</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color w:val="000000"/>
                <w:sz w:val="16"/>
                <w:szCs w:val="16"/>
              </w:rPr>
              <w:t xml:space="preserve">Briefing as to safe use of hammers before activity begins – </w:t>
            </w:r>
            <w:r>
              <w:rPr>
                <w:rFonts w:ascii="Nunito Sans" w:hAnsi="Nunito Sans"/>
                <w:i w:val="false"/>
                <w:iCs w:val="false"/>
                <w:color w:val="000000"/>
                <w:sz w:val="16"/>
                <w:szCs w:val="16"/>
              </w:rPr>
              <w:t xml:space="preserve">not to hold material close to where will hammer. </w:t>
            </w:r>
          </w:p>
          <w:p>
            <w:pPr>
              <w:pStyle w:val="Normal"/>
              <w:widowControl/>
              <w:rPr>
                <w:rFonts w:ascii="Nunito Sans" w:hAnsi="Nunito Sans"/>
                <w:sz w:val="16"/>
                <w:szCs w:val="16"/>
              </w:rPr>
            </w:pPr>
            <w:r>
              <w:rPr>
                <w:rFonts w:ascii="Nunito Sans" w:hAnsi="Nunito Sans"/>
                <w:i w:val="false"/>
                <w:iCs w:val="false"/>
                <w:color w:val="000000"/>
                <w:sz w:val="16"/>
                <w:szCs w:val="16"/>
              </w:rPr>
              <w:t>Hammer to be used to tap, do not raise too high so don’t hit face.  Goggles provided.</w:t>
            </w:r>
          </w:p>
          <w:p>
            <w:pPr>
              <w:pStyle w:val="Normal"/>
              <w:widowControl/>
              <w:rPr>
                <w:rFonts w:ascii="Nunito Sans" w:hAnsi="Nunito Sans"/>
                <w:sz w:val="16"/>
                <w:szCs w:val="16"/>
              </w:rPr>
            </w:pPr>
            <w:r>
              <w:rPr>
                <w:rFonts w:ascii="Nunito Sans" w:hAnsi="Nunito Sans"/>
                <w:i w:val="false"/>
                <w:iCs w:val="false"/>
                <w:color w:val="000000"/>
                <w:sz w:val="16"/>
                <w:szCs w:val="16"/>
              </w:rPr>
              <w:t xml:space="preserve">Participants to collect leaves/flowers etc to create design, advise where these can be collected from to avoid any other activities on site. </w:t>
            </w:r>
            <w:r>
              <w:rPr>
                <w:rFonts w:ascii="Nunito Sans" w:hAnsi="Nunito Sans"/>
                <w:i w:val="false"/>
                <w:iCs w:val="false"/>
                <w:color w:val="000000"/>
                <w:sz w:val="16"/>
                <w:szCs w:val="16"/>
              </w:rPr>
              <w:t>Also which plants to avoid, make sure young people don’t go into nettle/bramble patches. Advise to snap vegetation, don’t pull so as to avoid cutting hands.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Hammering Area</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 xml:space="preserve">A safe area should be chosen with plenty of space between participants, </w:t>
            </w:r>
            <w:r>
              <w:rPr>
                <w:rFonts w:ascii="Nunito Sans" w:hAnsi="Nunito Sans"/>
                <w:b w:val="false"/>
                <w:bCs w:val="false"/>
                <w:sz w:val="16"/>
                <w:szCs w:val="16"/>
              </w:rPr>
              <w:t>area for hammering should be flat and stable.</w:t>
            </w:r>
          </w:p>
          <w:p>
            <w:pPr>
              <w:pStyle w:val="Normal"/>
              <w:widowControl/>
              <w:rPr>
                <w:rFonts w:ascii="Nunito Sans" w:hAnsi="Nunito Sans"/>
                <w:sz w:val="16"/>
                <w:szCs w:val="16"/>
              </w:rPr>
            </w:pPr>
            <w:r>
              <w:rPr>
                <w:rFonts w:ascii="Nunito Sans" w:hAnsi="Nunito Sans"/>
                <w:b w:val="false"/>
                <w:bCs w:val="false"/>
                <w:sz w:val="16"/>
                <w:szCs w:val="16"/>
              </w:rPr>
              <w:t>Hammers should be placed down once activity finished and NOT carried at any point.</w:t>
            </w:r>
          </w:p>
          <w:p>
            <w:pPr>
              <w:pStyle w:val="Normal"/>
              <w:widowControl/>
              <w:rPr>
                <w:rFonts w:ascii="Nunito Sans" w:hAnsi="Nunito Sans"/>
                <w:sz w:val="16"/>
                <w:szCs w:val="16"/>
              </w:rPr>
            </w:pPr>
            <w:r>
              <w:rPr>
                <w:rFonts w:ascii="Nunito Sans" w:hAnsi="Nunito Sans"/>
                <w:b w:val="false"/>
                <w:bCs w:val="false"/>
                <w:sz w:val="16"/>
                <w:szCs w:val="16"/>
              </w:rPr>
              <w:t>Supervision required at all times to avoid injury</w:t>
            </w:r>
          </w:p>
          <w:p>
            <w:pPr>
              <w:pStyle w:val="Normal"/>
              <w:widowControl/>
              <w:rPr>
                <w:rFonts w:ascii="Nunito Sans" w:hAnsi="Nunito Sans"/>
                <w:sz w:val="16"/>
                <w:szCs w:val="16"/>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Weather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BodyText"/>
              <w:widowControl/>
              <w:rPr>
                <w:rFonts w:ascii="Nunito Sans" w:hAnsi="Nunito Sans"/>
                <w:sz w:val="16"/>
                <w:szCs w:val="16"/>
              </w:rPr>
            </w:pPr>
            <w:r>
              <w:rPr>
                <w:rFonts w:ascii="Nunito Sans" w:hAnsi="Nunito Sans"/>
                <w:b w:val="false"/>
                <w:bCs w:val="false"/>
                <w:sz w:val="16"/>
                <w:szCs w:val="16"/>
              </w:rPr>
              <w:t>Sessions to be cancelled in the event of adverse weather. Decision to be made by LinC</w:t>
            </w:r>
          </w:p>
          <w:p>
            <w:pPr>
              <w:pStyle w:val="BodyText"/>
              <w:widowControl/>
              <w:rPr>
                <w:rFonts w:ascii="Nunito Sans" w:hAnsi="Nunito Sans"/>
                <w:sz w:val="16"/>
                <w:szCs w:val="16"/>
              </w:rPr>
            </w:pPr>
            <w:r>
              <w:rPr>
                <w:rFonts w:ascii="Nunito Sans" w:hAnsi="Nunito Sans"/>
                <w:b w:val="false"/>
                <w:bCs w:val="false"/>
                <w:sz w:val="16"/>
                <w:szCs w:val="16"/>
              </w:rPr>
              <w:t>Session can be moved inside as long as safe to collect vegetation.</w:t>
            </w:r>
          </w:p>
          <w:p>
            <w:pPr>
              <w:pStyle w:val="Normal"/>
              <w:widowControl/>
              <w:rPr>
                <w:rFonts w:ascii="Nunito Sans" w:hAnsi="Nunito Sans"/>
                <w:b w:val="false"/>
                <w:bCs w:val="false"/>
                <w:sz w:val="16"/>
                <w:szCs w:val="16"/>
              </w:rPr>
            </w:pPr>
            <w:r>
              <w:rPr>
                <w:rFonts w:ascii="Nunito Sans" w:hAnsi="Nunito Sans"/>
                <w:b w:val="false"/>
                <w:bCs w:val="false"/>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fldChar w:fldCharType="begin">
                <w:ffData>
                  <w:name w:val="Text1 Copy 11"/>
                  <w:enabled/>
                  <w:calcOnExit w:val="0"/>
                  <w:textInput/>
                </w:ffData>
              </w:fldChar>
            </w:r>
            <w:r>
              <w:rPr>
                <w:sz w:val="16"/>
                <w:b/>
                <w:szCs w:val="16"/>
                <w:rFonts w:ascii="Nunito Sans" w:hAnsi="Nunito Sans"/>
              </w:rPr>
              <w:instrText xml:space="preserve"> FORMTEXT </w:instrText>
            </w:r>
            <w:r>
              <w:rPr>
                <w:rFonts w:ascii="Nunito Sans" w:hAnsi="Nunito Sans"/>
                <w:b/>
                <w:sz w:val="16"/>
                <w:szCs w:val="16"/>
              </w:rPr>
            </w:r>
            <w:r>
              <w:rPr>
                <w:sz w:val="16"/>
                <w:b/>
                <w:szCs w:val="16"/>
                <w:rFonts w:ascii="Nunito Sans" w:hAnsi="Nunito Sans"/>
              </w:rPr>
              <w:fldChar w:fldCharType="separate"/>
            </w:r>
            <w:r>
              <w:rPr>
                <w:rFonts w:ascii="Nunito Sans" w:hAnsi="Nunito Sans"/>
                <w:b/>
                <w:sz w:val="16"/>
                <w:szCs w:val="16"/>
              </w:rPr>
            </w:r>
            <w:r>
              <w:rPr>
                <w:rFonts w:ascii="Nunito Sans" w:hAnsi="Nunito Sans"/>
                <w:b w:val="false"/>
                <w:bCs w:val="false"/>
                <w:sz w:val="16"/>
                <w:szCs w:val="16"/>
              </w:rPr>
              <w:t>Behaviour  </w:t>
            </w:r>
          </w:p>
          <w:p>
            <w:pPr>
              <w:pStyle w:val="Normal"/>
              <w:widowControl/>
              <w:rPr>
                <w:rFonts w:ascii="Nunito Sans" w:hAnsi="Nunito Sans"/>
                <w:sz w:val="16"/>
                <w:szCs w:val="16"/>
              </w:rPr>
            </w:pPr>
            <w:r>
              <w:rPr>
                <w:rFonts w:ascii="Nunito Sans" w:hAnsi="Nunito Sans"/>
                <w:b/>
                <w:sz w:val="16"/>
                <w:szCs w:val="16"/>
              </w:rPr>
              <w:t>  </w:t>
            </w:r>
            <w:r/>
            <w:r>
              <w:rPr>
                <w:sz w:val="16"/>
                <w:b/>
                <w:szCs w:val="16"/>
                <w:rFonts w:ascii="Nunito Sans" w:hAnsi="Nunito Sans"/>
              </w:rPr>
              <w:fldChar w:fldCharType="end"/>
            </w:r>
            <w:r>
              <w:rPr>
                <w:rFonts w:ascii="Nunito Sans" w:hAnsi="Nunito Sans"/>
                <w:b/>
                <w:sz w:val="16"/>
                <w:szCs w:val="16"/>
              </w:rPr>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Groups to be briefed by LinC on standards of expected behaviour</w:t>
            </w:r>
          </w:p>
          <w:p>
            <w:pPr>
              <w:pStyle w:val="Normal"/>
              <w:widowControl/>
              <w:rPr>
                <w:rFonts w:ascii="Nunito Sans" w:hAnsi="Nunito Sans"/>
                <w:sz w:val="16"/>
                <w:szCs w:val="16"/>
              </w:rPr>
            </w:pPr>
            <w:r>
              <w:rPr>
                <w:rFonts w:ascii="Nunito Sans" w:hAnsi="Nunito Sans"/>
                <w:b w:val="false"/>
                <w:bCs w:val="false"/>
                <w:sz w:val="16"/>
                <w:szCs w:val="16"/>
              </w:rPr>
              <w:t>LinC to supervise behaviour at all times with additional Leader support</w:t>
            </w:r>
          </w:p>
          <w:p>
            <w:pPr>
              <w:pStyle w:val="Normal"/>
              <w:widowControl/>
              <w:rPr>
                <w:rFonts w:ascii="Nunito Sans" w:hAnsi="Nunito Sans"/>
                <w:sz w:val="16"/>
                <w:szCs w:val="16"/>
              </w:rPr>
            </w:pPr>
            <w:r>
              <w:rPr>
                <w:rFonts w:ascii="Nunito Sans" w:hAnsi="Nunito Sans"/>
                <w:b w:val="false"/>
                <w:bCs w:val="false"/>
                <w:sz w:val="16"/>
                <w:szCs w:val="16"/>
              </w:rPr>
              <w:t>Persistent indiscipline may result in the young person being excluded from the session or the session may be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2"/>
          <w:szCs w:val="12"/>
        </w:rPr>
      </w:pPr>
      <w:r>
        <w:rPr>
          <w:sz w:val="12"/>
          <w:szCs w:val="12"/>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t>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2651</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2026-04-27T14:07:45Z</cp:lastPrinted>
  <dcterms:modified xsi:type="dcterms:W3CDTF">2026-04-27T14:08:56Z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