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Use of Nerf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rFonts w:eastAsia="Times New Roman" w:cs="Segoe UI" w:ascii="Segoe UI" w:hAnsi="Segoe UI"/>
                <w:sz w:val="14"/>
                <w:szCs w:val="14"/>
                <w:lang w:bidi="ar-SA"/>
              </w:rPr>
              <w:t>Overall supervision &amp; Control</w:t>
            </w:r>
          </w:p>
        </w:tc>
        <w:tc>
          <w:tcPr>
            <w:tcW w:w="221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 Leader in Charge (LinC) must be identified prior to or at the start of the session.</w:t>
            </w:r>
          </w:p>
          <w:p>
            <w:pPr>
              <w:pStyle w:val="Normal"/>
              <w:widowControl/>
              <w:rPr>
                <w:i w:val="false"/>
                <w:i w:val="false"/>
                <w:iCs w:val="false"/>
              </w:rPr>
            </w:pPr>
            <w:r>
              <w:rPr>
                <w:i w:val="false"/>
                <w:iCs w:val="false"/>
                <w:sz w:val="14"/>
                <w:szCs w:val="14"/>
              </w:rPr>
              <w:t>The LinC must be in attendance throughout the whole session</w:t>
            </w:r>
          </w:p>
          <w:p>
            <w:pPr>
              <w:pStyle w:val="Normal"/>
              <w:widowControl/>
              <w:rPr>
                <w:i w:val="false"/>
                <w:i w:val="false"/>
                <w:iCs w:val="false"/>
              </w:rPr>
            </w:pPr>
            <w:r>
              <w:rPr>
                <w:i w:val="false"/>
                <w:iCs w:val="false"/>
                <w:sz w:val="14"/>
                <w:szCs w:val="14"/>
              </w:rPr>
              <w:t>Appropriate ratio or leaders to young people to allow effective supervision, this will depend upon age and abilities of participants, to be determined by LinC</w:t>
            </w:r>
          </w:p>
          <w:p>
            <w:pPr>
              <w:pStyle w:val="Normal"/>
              <w:widowControl/>
              <w:rPr>
                <w:i w:val="false"/>
                <w:i w:val="false"/>
                <w:iCs w:val="false"/>
              </w:rPr>
            </w:pPr>
            <w:r>
              <w:rPr>
                <w:i w:val="false"/>
                <w:iCs w:val="false"/>
                <w:sz w:val="14"/>
                <w:szCs w:val="14"/>
              </w:rPr>
              <w:t>LinC to stop all activities immediately if the safety of  participants or any other site users/members of the public are compromised.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color w:val="000000"/>
              </w:rPr>
            </w:pPr>
            <w:r>
              <w:rPr>
                <w:color w:val="000000"/>
                <w:sz w:val="16"/>
                <w:szCs w:val="16"/>
              </w:rPr>
              <w:t>Target range</w:t>
            </w:r>
          </w:p>
        </w:tc>
        <w:tc>
          <w:tcPr>
            <w:tcW w:w="2210" w:type="dxa"/>
            <w:tcBorders>
              <w:start w:val="single" w:sz="4" w:space="0" w:color="000000"/>
              <w:bottom w:val="single" w:sz="4" w:space="0" w:color="000000"/>
            </w:tcBorders>
          </w:tcPr>
          <w:p>
            <w:pPr>
              <w:pStyle w:val="Normal"/>
              <w:widowControl/>
              <w:rPr>
                <w:i w:val="false"/>
                <w:i w:val="false"/>
                <w:iCs w:val="false"/>
              </w:rPr>
            </w:pPr>
            <w:r>
              <w:rPr>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color w:val="000000"/>
                <w:sz w:val="14"/>
                <w:szCs w:val="14"/>
              </w:rPr>
              <w:t>LinC to</w:t>
            </w:r>
            <w:r>
              <w:rPr>
                <w:i w:val="false"/>
                <w:iCs w:val="false"/>
                <w:color w:val="000000"/>
                <w:sz w:val="14"/>
                <w:szCs w:val="14"/>
              </w:rPr>
              <w:t xml:space="preserve"> establish </w:t>
            </w:r>
            <w:r>
              <w:rPr>
                <w:i w:val="false"/>
                <w:iCs w:val="false"/>
                <w:color w:val="000000"/>
                <w:sz w:val="14"/>
                <w:szCs w:val="14"/>
              </w:rPr>
              <w:t>area to be used for Nerf &amp; complete appropriate Risk Assessments.</w:t>
            </w:r>
          </w:p>
          <w:p>
            <w:pPr>
              <w:pStyle w:val="Normal"/>
              <w:widowControl/>
              <w:rPr>
                <w:i w:val="false"/>
                <w:i w:val="false"/>
                <w:iCs w:val="false"/>
                <w:sz w:val="14"/>
                <w:szCs w:val="14"/>
              </w:rPr>
            </w:pPr>
            <w:r>
              <w:rPr>
                <w:i w:val="false"/>
                <w:iCs w:val="false"/>
                <w:color w:val="000000"/>
                <w:sz w:val="14"/>
                <w:szCs w:val="14"/>
              </w:rPr>
              <w:t>LinC to check course for trip hazards and check stability of targets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Injury from equipment use</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769" w:type="dxa"/>
            <w:tcBorders>
              <w:start w:val="single" w:sz="4" w:space="0" w:color="000000"/>
              <w:bottom w:val="single" w:sz="4" w:space="0" w:color="000000"/>
            </w:tcBorders>
          </w:tcPr>
          <w:p>
            <w:pPr>
              <w:pStyle w:val="Normal"/>
              <w:widowControl/>
              <w:rPr>
                <w:sz w:val="14"/>
                <w:szCs w:val="14"/>
              </w:rPr>
            </w:pPr>
            <w:r>
              <w:rPr>
                <w:b w:val="false"/>
                <w:bCs w:val="false"/>
                <w:sz w:val="14"/>
                <w:szCs w:val="14"/>
              </w:rPr>
              <w:t>LinC to brief users regarding standards of behaviour and course safety</w:t>
            </w:r>
          </w:p>
          <w:p>
            <w:pPr>
              <w:pStyle w:val="Normal"/>
              <w:widowControl/>
              <w:rPr>
                <w:sz w:val="14"/>
                <w:szCs w:val="14"/>
              </w:rPr>
            </w:pPr>
            <w:r>
              <w:rPr>
                <w:b w:val="false"/>
                <w:bCs w:val="false"/>
                <w:sz w:val="14"/>
                <w:szCs w:val="14"/>
              </w:rPr>
              <w:t>Users to stand on shooting line to aim at targets.</w:t>
            </w:r>
          </w:p>
          <w:p>
            <w:pPr>
              <w:pStyle w:val="Normal"/>
              <w:widowControl/>
              <w:rPr>
                <w:sz w:val="14"/>
                <w:szCs w:val="14"/>
              </w:rPr>
            </w:pPr>
            <w:r>
              <w:rPr>
                <w:b w:val="false"/>
                <w:bCs w:val="false"/>
                <w:sz w:val="14"/>
                <w:szCs w:val="14"/>
              </w:rPr>
              <w:t>Those waiting should stand behind in designated waiting area</w:t>
            </w:r>
          </w:p>
          <w:p>
            <w:pPr>
              <w:pStyle w:val="Normal"/>
              <w:widowControl/>
              <w:rPr>
                <w:sz w:val="14"/>
                <w:szCs w:val="14"/>
              </w:rPr>
            </w:pPr>
            <w:r>
              <w:rPr>
                <w:b w:val="false"/>
                <w:bCs w:val="false"/>
                <w:sz w:val="14"/>
                <w:szCs w:val="14"/>
              </w:rPr>
              <w:t>users should be briefed on how to hold, reload and fire nerf guns</w:t>
            </w:r>
          </w:p>
          <w:p>
            <w:pPr>
              <w:pStyle w:val="Normal"/>
              <w:widowControl/>
              <w:rPr>
                <w:sz w:val="14"/>
                <w:szCs w:val="14"/>
              </w:rPr>
            </w:pPr>
            <w:r>
              <w:rPr>
                <w:b w:val="false"/>
                <w:bCs w:val="false"/>
                <w:sz w:val="14"/>
                <w:szCs w:val="14"/>
              </w:rPr>
              <w:t>Once all firing has finished, and on LinC instructions, users should lay down guns, collect nerf pellets and return to waiting area</w:t>
            </w:r>
          </w:p>
          <w:p>
            <w:pPr>
              <w:pStyle w:val="Normal"/>
              <w:widowControl/>
              <w:rPr>
                <w:sz w:val="14"/>
                <w:szCs w:val="14"/>
              </w:rPr>
            </w:pPr>
            <w:r>
              <w:rPr>
                <w:b w:val="false"/>
                <w:bCs w:val="false"/>
                <w:sz w:val="14"/>
                <w:szCs w:val="14"/>
              </w:rPr>
              <w:t>Goggles available if required</w:t>
            </w:r>
          </w:p>
          <w:p>
            <w:pPr>
              <w:pStyle w:val="Normal"/>
              <w:widowControl/>
              <w:rPr>
                <w:b w:val="false"/>
                <w:bCs w:val="false"/>
              </w:rPr>
            </w:pPr>
            <w:r>
              <w:rPr>
                <w:b w:val="false"/>
                <w:bCs w:val="false"/>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Weather</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BodyText"/>
              <w:widowControl/>
              <w:rPr>
                <w:b w:val="false"/>
                <w:bCs w:val="false"/>
                <w:sz w:val="14"/>
                <w:szCs w:val="14"/>
              </w:rPr>
            </w:pPr>
            <w:r>
              <w:rPr>
                <w:b w:val="false"/>
                <w:bCs w:val="false"/>
                <w:sz w:val="14"/>
                <w:szCs w:val="14"/>
              </w:rPr>
              <w:t>Sessions to be cancelled in the event of adverse weather. Decision to be made by LinC</w:t>
            </w:r>
          </w:p>
          <w:p>
            <w:pPr>
              <w:pStyle w:val="Normal"/>
              <w:widowControl/>
              <w:rPr>
                <w:b w:val="false"/>
                <w:bCs w:val="false"/>
                <w:sz w:val="14"/>
                <w:szCs w:val="14"/>
              </w:rPr>
            </w:pPr>
            <w:r>
              <w:rPr>
                <w:b w:val="false"/>
                <w:bCs w:val="false"/>
                <w:sz w:val="14"/>
                <w:szCs w:val="14"/>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6"/>
                <w:szCs w:val="16"/>
              </w:rPr>
            </w:pPr>
            <w:r>
              <w:fldChar w:fldCharType="begin">
                <w:ffData>
                  <w:name w:val="Text1 Copy 11"/>
                  <w:enabled/>
                  <w:calcOnExit w:val="0"/>
                  <w:textInput/>
                </w:ffData>
              </w:fldChar>
            </w:r>
            <w:r>
              <w:rPr>
                <w:sz w:val="16"/>
                <w:b/>
                <w:szCs w:val="16"/>
              </w:rPr>
              <w:instrText xml:space="preserve"> FORMTEXT </w:instrText>
            </w:r>
            <w:r>
              <w:rPr>
                <w:b/>
                <w:sz w:val="16"/>
                <w:szCs w:val="16"/>
              </w:rPr>
            </w:r>
            <w:r>
              <w:rPr>
                <w:sz w:val="16"/>
                <w:b/>
                <w:szCs w:val="16"/>
              </w:rPr>
              <w:fldChar w:fldCharType="separate"/>
            </w:r>
            <w:r>
              <w:rPr>
                <w:b/>
                <w:sz w:val="16"/>
                <w:szCs w:val="16"/>
              </w:rPr>
            </w:r>
            <w:r>
              <w:rPr>
                <w:b w:val="false"/>
                <w:bCs w:val="false"/>
                <w:sz w:val="16"/>
                <w:szCs w:val="16"/>
              </w:rPr>
              <w:t>Behaviour  </w:t>
            </w:r>
          </w:p>
          <w:p>
            <w:pPr>
              <w:pStyle w:val="Normal"/>
              <w:widowControl/>
              <w:rPr>
                <w:sz w:val="16"/>
                <w:szCs w:val="16"/>
              </w:rPr>
            </w:pPr>
            <w:r>
              <w:rPr>
                <w:b/>
                <w:sz w:val="16"/>
                <w:szCs w:val="16"/>
              </w:rPr>
              <w:t>  </w:t>
            </w:r>
            <w:r/>
            <w:r>
              <w:rPr>
                <w:sz w:val="16"/>
                <w:b/>
                <w:szCs w:val="16"/>
              </w:rPr>
              <w:fldChar w:fldCharType="end"/>
            </w:r>
            <w:r>
              <w:rPr>
                <w:b/>
                <w:sz w:val="16"/>
                <w:szCs w:val="16"/>
              </w:rPr>
            </w:r>
          </w:p>
        </w:tc>
        <w:tc>
          <w:tcPr>
            <w:tcW w:w="2210" w:type="dxa"/>
            <w:tcBorders>
              <w:start w:val="single" w:sz="4" w:space="0" w:color="000000"/>
              <w:bottom w:val="single" w:sz="4" w:space="0" w:color="000000"/>
            </w:tcBorders>
          </w:tcPr>
          <w:p>
            <w:pPr>
              <w:pStyle w:val="Normal"/>
              <w:widowControl/>
              <w:rPr>
                <w:sz w:val="16"/>
                <w:szCs w:val="16"/>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sz w:val="14"/>
                <w:szCs w:val="14"/>
              </w:rPr>
            </w:pPr>
            <w:r>
              <w:rPr>
                <w:b w:val="false"/>
                <w:bCs w:val="false"/>
                <w:sz w:val="14"/>
                <w:szCs w:val="14"/>
              </w:rPr>
              <w:t>Groups to be briefed by Lin</w:t>
            </w:r>
            <w:r>
              <w:rPr>
                <w:b w:val="false"/>
                <w:bCs w:val="false"/>
                <w:sz w:val="14"/>
                <w:szCs w:val="14"/>
              </w:rPr>
              <w:t xml:space="preserve">C </w:t>
            </w:r>
            <w:r>
              <w:rPr>
                <w:b w:val="false"/>
                <w:bCs w:val="false"/>
                <w:sz w:val="14"/>
                <w:szCs w:val="14"/>
              </w:rPr>
              <w:t>on standards of expected behaviour</w:t>
            </w:r>
          </w:p>
          <w:p>
            <w:pPr>
              <w:pStyle w:val="Normal"/>
              <w:widowControl/>
              <w:rPr>
                <w:sz w:val="14"/>
                <w:szCs w:val="14"/>
              </w:rPr>
            </w:pPr>
            <w:r>
              <w:rPr>
                <w:b w:val="false"/>
                <w:bCs w:val="false"/>
                <w:sz w:val="14"/>
                <w:szCs w:val="14"/>
              </w:rPr>
              <w:t>Safe waiting area to be established to avoid overcrowding near shooting area</w:t>
            </w:r>
          </w:p>
          <w:p>
            <w:pPr>
              <w:pStyle w:val="Normal"/>
              <w:widowControl/>
              <w:rPr>
                <w:sz w:val="14"/>
                <w:szCs w:val="14"/>
              </w:rPr>
            </w:pPr>
            <w:r>
              <w:rPr>
                <w:b w:val="false"/>
                <w:bCs w:val="false"/>
                <w:sz w:val="14"/>
                <w:szCs w:val="14"/>
              </w:rPr>
              <w:t>LinC to supervise behaviour at all times with additional Leader support</w:t>
            </w:r>
          </w:p>
          <w:p>
            <w:pPr>
              <w:pStyle w:val="Normal"/>
              <w:widowControl/>
              <w:rPr>
                <w:sz w:val="14"/>
                <w:szCs w:val="14"/>
              </w:rPr>
            </w:pPr>
            <w:r>
              <w:rPr>
                <w:b w:val="false"/>
                <w:bCs w:val="false"/>
                <w:sz w:val="14"/>
                <w:szCs w:val="14"/>
              </w:rPr>
              <w:t>Persistent indiscipline may result in the young person being excluded from the session or the session may be terminated.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b/>
          <w:bCs/>
          <w:sz w:val="16"/>
          <w:szCs w:val="16"/>
        </w:rPr>
      </w:pPr>
      <w:r>
        <w:rPr>
          <w:rFonts w:ascii="Nunito Sans" w:hAnsi="Nunito Sans"/>
          <w:b/>
          <w:bCs/>
          <w:sz w:val="16"/>
          <w:szCs w:val="16"/>
        </w:rPr>
        <w:t>Own additional Risk Assessment required as to where the activity is to be run on site</w:t>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Segoe UI">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2687</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2026-05-13T13:23:46Z</cp:lastPrinted>
  <dcterms:modified xsi:type="dcterms:W3CDTF">2026-05-13T13:23:52Z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