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Nunito Sans" w:hAnsi="Nunito Sans"/>
        </w:rPr>
      </w:pPr>
      <w:r>
        <w:drawing>
          <wp:anchor behindDoc="0" distT="0" distB="0" distL="0" distR="0" simplePos="0" locked="0" layoutInCell="0" allowOverlap="1" relativeHeight="2">
            <wp:simplePos x="0" y="0"/>
            <wp:positionH relativeFrom="column">
              <wp:posOffset>-629920</wp:posOffset>
            </wp:positionH>
            <wp:positionV relativeFrom="paragraph">
              <wp:posOffset>-692785</wp:posOffset>
            </wp:positionV>
            <wp:extent cx="2315845" cy="1052830"/>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2315845" cy="1052830"/>
                    </a:xfrm>
                    <a:prstGeom prst="rect">
                      <a:avLst/>
                    </a:prstGeom>
                  </pic:spPr>
                </pic:pic>
              </a:graphicData>
            </a:graphic>
          </wp:anchor>
        </w:drawing>
      </w:r>
      <w:r>
        <w:rPr>
          <w:rFonts w:ascii="Nunito Sans" w:hAnsi="Nunito Sans"/>
          <w:b/>
          <w:bCs/>
        </w:rPr>
        <w:t xml:space="preserve"> </w:t>
      </w:r>
      <w:r>
        <w:rPr>
          <w:rFonts w:ascii="Nunito Sans" w:hAnsi="Nunito Sans"/>
          <w:b/>
          <w:bCs/>
        </w:rPr>
        <w:t>Risk Assessment</w:t>
      </w:r>
    </w:p>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1869"/>
        <w:gridCol w:w="4260"/>
        <w:gridCol w:w="3341"/>
        <w:gridCol w:w="1760"/>
        <w:gridCol w:w="1760"/>
        <w:gridCol w:w="1579"/>
      </w:tblGrid>
      <w:tr>
        <w:trPr/>
        <w:tc>
          <w:tcPr>
            <w:tcW w:w="1869" w:type="dxa"/>
            <w:tcBorders>
              <w:top w:val="single" w:sz="4" w:space="0" w:color="000000"/>
              <w:start w:val="single" w:sz="4" w:space="0" w:color="000000"/>
              <w:bottom w:val="single" w:sz="4" w:space="0" w:color="000000"/>
            </w:tcBorders>
            <w:shd w:fill="B2B2B2" w:val="clear"/>
          </w:tcPr>
          <w:p>
            <w:pPr>
              <w:pStyle w:val="Normal"/>
              <w:widowControl/>
              <w:bidi w:val="0"/>
              <w:jc w:val="start"/>
              <w:rPr>
                <w:b/>
                <w:sz w:val="20"/>
                <w:szCs w:val="20"/>
              </w:rPr>
            </w:pPr>
            <w:r>
              <w:rPr>
                <w:rFonts w:ascii="Nunito Sans" w:hAnsi="Nunito Sans"/>
                <w:b w:val="false"/>
                <w:bCs w:val="false"/>
                <w:sz w:val="20"/>
                <w:szCs w:val="20"/>
                <w:shd w:fill="auto" w:val="clear"/>
              </w:rPr>
              <w:t>Name of activity, event, and location</w:t>
            </w:r>
          </w:p>
        </w:tc>
        <w:tc>
          <w:tcPr>
            <w:tcW w:w="4260" w:type="dxa"/>
            <w:tcBorders>
              <w:top w:val="single" w:sz="4" w:space="0" w:color="000000"/>
              <w:start w:val="single" w:sz="4" w:space="0" w:color="000000"/>
              <w:bottom w:val="single" w:sz="4" w:space="0" w:color="000000"/>
            </w:tcBorders>
          </w:tcPr>
          <w:p>
            <w:pPr>
              <w:pStyle w:val="Normal"/>
              <w:widowControl/>
              <w:bidi w:val="0"/>
              <w:jc w:val="start"/>
              <w:rPr>
                <w:b/>
                <w:sz w:val="20"/>
                <w:szCs w:val="20"/>
              </w:rPr>
            </w:pPr>
            <w:r>
              <w:rPr>
                <w:rFonts w:ascii="Nunito Sans" w:hAnsi="Nunito Sans"/>
                <w:b w:val="false"/>
                <w:bCs w:val="false"/>
                <w:sz w:val="20"/>
                <w:szCs w:val="20"/>
              </w:rPr>
              <w:t xml:space="preserve"> </w:t>
            </w:r>
            <w:r>
              <w:rPr>
                <w:rFonts w:ascii="Nunito Sans" w:hAnsi="Nunito Sans"/>
                <w:b/>
                <w:bCs w:val="false"/>
                <w:sz w:val="20"/>
                <w:szCs w:val="20"/>
              </w:rPr>
              <w:t xml:space="preserve">Nightline </w:t>
            </w:r>
            <w:r>
              <w:rPr>
                <w:rFonts w:ascii="Nunito Sans" w:hAnsi="Nunito Sans"/>
                <w:b w:val="false"/>
                <w:bCs w:val="false"/>
                <w:sz w:val="20"/>
                <w:szCs w:val="20"/>
              </w:rPr>
              <w:t>@ Bramhope Scout Campsite</w:t>
            </w:r>
          </w:p>
        </w:tc>
        <w:tc>
          <w:tcPr>
            <w:tcW w:w="3341"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Date of risk assessment</w:t>
            </w:r>
          </w:p>
          <w:p>
            <w:pPr>
              <w:pStyle w:val="Normal"/>
              <w:widowControl/>
              <w:bidi w:val="0"/>
              <w:jc w:val="center"/>
              <w:rPr>
                <w:b/>
                <w:sz w:val="20"/>
                <w:szCs w:val="20"/>
              </w:rPr>
            </w:pPr>
            <w:r>
              <w:rPr>
                <w:b/>
                <w:sz w:val="20"/>
                <w:szCs w:val="20"/>
              </w:rPr>
            </w:r>
          </w:p>
          <w:p>
            <w:pPr>
              <w:pStyle w:val="Normal"/>
              <w:widowControl/>
              <w:bidi w:val="0"/>
              <w:jc w:val="center"/>
              <w:rPr>
                <w:b/>
                <w:sz w:val="20"/>
                <w:szCs w:val="20"/>
              </w:rPr>
            </w:pPr>
            <w:r>
              <w:rPr>
                <w:rFonts w:ascii="Nunito Sans" w:hAnsi="Nunito Sans"/>
                <w:b w:val="false"/>
                <w:bCs w:val="false"/>
                <w:sz w:val="20"/>
                <w:szCs w:val="20"/>
                <w:shd w:fill="auto" w:val="clear"/>
              </w:rPr>
              <w:t>Date of next review</w:t>
            </w:r>
          </w:p>
        </w:tc>
        <w:tc>
          <w:tcPr>
            <w:tcW w:w="176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01/05</w:t>
            </w:r>
            <w:r>
              <w:rPr>
                <w:rFonts w:ascii="Nunito Sans" w:hAnsi="Nunito Sans"/>
                <w:b w:val="false"/>
                <w:bCs w:val="false"/>
                <w:i w:val="false"/>
                <w:iCs w:val="false"/>
                <w:strike w:val="false"/>
                <w:dstrike w:val="false"/>
                <w:outline w:val="false"/>
                <w:shadow w:val="false"/>
                <w:color w:val="000000"/>
                <w:sz w:val="20"/>
                <w:szCs w:val="20"/>
                <w:u w:val="none"/>
                <w:shd w:fill="auto" w:val="clear"/>
              </w:rPr>
              <w:t>/2026</w:t>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01/05</w:t>
            </w:r>
            <w:r>
              <w:rPr>
                <w:rFonts w:ascii="Nunito Sans" w:hAnsi="Nunito Sans"/>
                <w:b w:val="false"/>
                <w:bCs w:val="false"/>
                <w:i w:val="false"/>
                <w:iCs w:val="false"/>
                <w:strike w:val="false"/>
                <w:dstrike w:val="false"/>
                <w:outline w:val="false"/>
                <w:shadow w:val="false"/>
                <w:color w:val="000000"/>
                <w:sz w:val="20"/>
                <w:szCs w:val="20"/>
                <w:u w:val="none"/>
                <w:shd w:fill="auto" w:val="clear"/>
              </w:rPr>
              <w:t>/2027</w:t>
            </w:r>
          </w:p>
        </w:tc>
        <w:tc>
          <w:tcPr>
            <w:tcW w:w="1760"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Name of person doing this risk assessment</w:t>
            </w:r>
          </w:p>
        </w:tc>
        <w:tc>
          <w:tcPr>
            <w:tcW w:w="1579"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b/>
                <w:sz w:val="20"/>
                <w:szCs w:val="20"/>
              </w:rPr>
            </w:pPr>
            <w:r>
              <w:rPr>
                <w:rFonts w:ascii="Nunito Sans" w:hAnsi="Nunito Sans"/>
                <w:b w:val="false"/>
                <w:bCs w:val="false"/>
                <w:sz w:val="20"/>
                <w:szCs w:val="20"/>
              </w:rPr>
              <w:t>Angie Foley</w:t>
            </w:r>
          </w:p>
          <w:p>
            <w:pPr>
              <w:pStyle w:val="Normal"/>
              <w:widowControl/>
              <w:bidi w:val="0"/>
              <w:jc w:val="start"/>
              <w:rPr>
                <w:b/>
                <w:sz w:val="20"/>
                <w:szCs w:val="20"/>
              </w:rPr>
            </w:pPr>
            <w:r>
              <w:rPr>
                <w:b/>
                <w:sz w:val="20"/>
                <w:szCs w:val="20"/>
              </w:rPr>
            </w:r>
          </w:p>
          <w:p>
            <w:pPr>
              <w:pStyle w:val="Normal"/>
              <w:widowControl/>
              <w:bidi w:val="0"/>
              <w:jc w:val="start"/>
              <w:rPr>
                <w:b/>
                <w:sz w:val="20"/>
                <w:szCs w:val="20"/>
              </w:rPr>
            </w:pPr>
            <w:r>
              <w:rPr>
                <w:rFonts w:ascii="Nunito Sans" w:hAnsi="Nunito Sans"/>
                <w:b w:val="false"/>
                <w:bCs w:val="false"/>
                <w:sz w:val="20"/>
                <w:szCs w:val="20"/>
              </w:rPr>
              <w:t>John Smallwood</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sz w:val="20"/>
          <w:szCs w:val="20"/>
        </w:rPr>
      </w:pPr>
      <w:r>
        <w:rPr>
          <w:rFonts w:ascii="Nunito Sans" w:hAnsi="Nunito Sans"/>
          <w:sz w:val="20"/>
          <w:szCs w:val="20"/>
        </w:rPr>
        <w:t>This document describes the hazards and controls you may encounter at Bramhope. This risk assessment excludes adventurous activities, (these are available on our website) and only includes hazards which may affect visiting groups – it does not cover hazards specific to site maintenance volunteers. This document provides a concise overview of the controls in place so that you have a reasonable understanding of the hazards and residual risks associated with visiting the site. If you feel there are hazards missing or you would like more detailed information, please get in touch.</w:t>
      </w:r>
    </w:p>
    <w:p>
      <w:pPr>
        <w:pStyle w:val="Normal"/>
        <w:bidi w:val="0"/>
        <w:jc w:val="start"/>
        <w:rPr>
          <w:rFonts w:ascii="Nunito Sans" w:hAnsi="Nunito Sans"/>
          <w:sz w:val="20"/>
          <w:szCs w:val="20"/>
        </w:rPr>
      </w:pPr>
      <w:r>
        <w:rPr>
          <w:rFonts w:ascii="Nunito Sans" w:hAnsi="Nunito Sans"/>
          <w:sz w:val="20"/>
          <w:szCs w:val="20"/>
        </w:rPr>
      </w:r>
    </w:p>
    <w:tbl>
      <w:tblPr>
        <w:tblW w:w="5000" w:type="pct"/>
        <w:jc w:val="start"/>
        <w:tblInd w:w="-5" w:type="dxa"/>
        <w:tblLayout w:type="fixed"/>
        <w:tblCellMar>
          <w:top w:w="55" w:type="dxa"/>
          <w:start w:w="55" w:type="dxa"/>
          <w:bottom w:w="55" w:type="dxa"/>
          <w:end w:w="55" w:type="dxa"/>
        </w:tblCellMar>
      </w:tblPr>
      <w:tblGrid>
        <w:gridCol w:w="1079"/>
        <w:gridCol w:w="5270"/>
        <w:gridCol w:w="8221"/>
      </w:tblGrid>
      <w:tr>
        <w:trPr/>
        <w:tc>
          <w:tcPr>
            <w:tcW w:w="1079"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Level</w:t>
            </w:r>
          </w:p>
        </w:tc>
        <w:tc>
          <w:tcPr>
            <w:tcW w:w="527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Severity Description</w:t>
            </w:r>
          </w:p>
        </w:tc>
        <w:tc>
          <w:tcPr>
            <w:tcW w:w="8221" w:type="dxa"/>
            <w:tcBorders>
              <w:top w:val="single" w:sz="4" w:space="0" w:color="000000"/>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Residual Risk Description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 xml:space="preserve">Low </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Minor injury requiring no treatment or simple first aid</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minimal levels.</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Medium</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treatment beyond the skills of a basic first aider. Requires participant to stop activity.</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adequate level. But hazard still requires dynamic risk assessment and conscious consideration.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High</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expert medical attention and/or be fatal.</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haven’t reduced severity or likelihood to an acceptable level.</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2159"/>
        <w:gridCol w:w="2210"/>
        <w:gridCol w:w="1470"/>
        <w:gridCol w:w="7830"/>
        <w:gridCol w:w="901"/>
      </w:tblGrid>
      <w:tr>
        <w:trPr/>
        <w:tc>
          <w:tcPr>
            <w:tcW w:w="2159"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Hazards</w:t>
            </w:r>
          </w:p>
        </w:tc>
        <w:tc>
          <w:tcPr>
            <w:tcW w:w="221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Who may be harmed?</w:t>
            </w:r>
          </w:p>
        </w:tc>
        <w:tc>
          <w:tcPr>
            <w:tcW w:w="1470" w:type="dxa"/>
            <w:tcBorders>
              <w:top w:val="single" w:sz="4" w:space="0" w:color="000000"/>
              <w:start w:val="single" w:sz="4" w:space="0" w:color="000000"/>
              <w:bottom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 xml:space="preserve">Foreseeable </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Severity</w:t>
            </w:r>
          </w:p>
        </w:tc>
        <w:tc>
          <w:tcPr>
            <w:tcW w:w="783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in place</w:t>
            </w:r>
          </w:p>
        </w:tc>
        <w:tc>
          <w:tcPr>
            <w:tcW w:w="901" w:type="dxa"/>
            <w:tcBorders>
              <w:top w:val="single" w:sz="4" w:space="0" w:color="000000"/>
              <w:start w:val="single" w:sz="4" w:space="0" w:color="000000"/>
              <w:bottom w:val="single" w:sz="4" w:space="0" w:color="000000"/>
              <w:end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Residual</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Risk</w:t>
            </w:r>
          </w:p>
        </w:tc>
      </w:tr>
      <w:tr>
        <w:trPr/>
        <w:tc>
          <w:tcPr>
            <w:tcW w:w="2159" w:type="dxa"/>
            <w:tcBorders>
              <w:start w:val="single" w:sz="4" w:space="0" w:color="000000"/>
              <w:bottom w:val="single" w:sz="4" w:space="0" w:color="000000"/>
            </w:tcBorders>
          </w:tcPr>
          <w:p>
            <w:pPr>
              <w:pStyle w:val="Normal"/>
              <w:widowControl/>
              <w:rPr>
                <w:sz w:val="14"/>
                <w:szCs w:val="14"/>
              </w:rPr>
            </w:pPr>
            <w:r>
              <w:rPr>
                <w:sz w:val="14"/>
                <w:szCs w:val="14"/>
              </w:rPr>
              <w:t>Correct Personal protection equipment (PPE)</w:t>
            </w:r>
          </w:p>
          <w:p>
            <w:pPr>
              <w:pStyle w:val="Normal"/>
              <w:widowControl/>
              <w:rPr>
                <w:sz w:val="14"/>
                <w:szCs w:val="14"/>
              </w:rPr>
            </w:pPr>
            <w:r>
              <w:rPr/>
            </w:r>
          </w:p>
          <w:p>
            <w:pPr>
              <w:pStyle w:val="Normal"/>
              <w:widowControl/>
              <w:rPr>
                <w:sz w:val="14"/>
                <w:szCs w:val="14"/>
              </w:rPr>
            </w:pPr>
            <w:r>
              <w:rPr>
                <w:sz w:val="14"/>
                <w:szCs w:val="14"/>
              </w:rPr>
              <w:t>Head injury on low trees</w:t>
            </w:r>
          </w:p>
        </w:tc>
        <w:tc>
          <w:tcPr>
            <w:tcW w:w="2210" w:type="dxa"/>
            <w:tcBorders>
              <w:start w:val="single" w:sz="4" w:space="0" w:color="000000"/>
              <w:bottom w:val="single" w:sz="4" w:space="0" w:color="000000"/>
            </w:tcBorders>
          </w:tcPr>
          <w:p>
            <w:pPr>
              <w:pStyle w:val="Normal"/>
              <w:widowControl/>
              <w:rPr>
                <w:sz w:val="14"/>
                <w:szCs w:val="14"/>
              </w:rPr>
            </w:pPr>
            <w:r>
              <w:rPr>
                <w:b w:val="false"/>
                <w:bCs w:val="false"/>
                <w:sz w:val="14"/>
                <w:szCs w:val="14"/>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830" w:type="dxa"/>
            <w:tcBorders>
              <w:start w:val="single" w:sz="4" w:space="0" w:color="000000"/>
              <w:bottom w:val="single" w:sz="4" w:space="0" w:color="000000"/>
            </w:tcBorders>
          </w:tcPr>
          <w:p>
            <w:pPr>
              <w:pStyle w:val="Normal"/>
              <w:widowControl/>
              <w:rPr>
                <w:i w:val="false"/>
                <w:i w:val="false"/>
                <w:iCs w:val="false"/>
                <w:sz w:val="14"/>
                <w:szCs w:val="14"/>
              </w:rPr>
            </w:pPr>
            <w:r>
              <w:rPr>
                <w:i w:val="false"/>
                <w:iCs w:val="false"/>
                <w:sz w:val="14"/>
                <w:szCs w:val="14"/>
              </w:rPr>
              <w:t>Leader in Charge (LinC) of activity to be appointed by group using equipment. LinC will have overall charge and responsibility for safety and discipline.</w:t>
            </w:r>
          </w:p>
          <w:p>
            <w:pPr>
              <w:pStyle w:val="Normal"/>
              <w:widowControl/>
              <w:rPr>
                <w:i w:val="false"/>
                <w:i w:val="false"/>
                <w:iCs w:val="false"/>
                <w:sz w:val="14"/>
                <w:szCs w:val="14"/>
              </w:rPr>
            </w:pPr>
            <w:r>
              <w:rPr>
                <w:i w:val="false"/>
                <w:iCs w:val="false"/>
                <w:sz w:val="14"/>
                <w:szCs w:val="14"/>
              </w:rPr>
              <w:t xml:space="preserve">Helmets MUST be worn, </w:t>
            </w:r>
            <w:r>
              <w:rPr>
                <w:i w:val="false"/>
                <w:iCs w:val="false"/>
                <w:sz w:val="14"/>
                <w:szCs w:val="14"/>
              </w:rPr>
              <w:t>LinC to ensure all helmets are fitted correctly prior to young person entering the course.</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color w:val="000000"/>
                <w:sz w:val="14"/>
                <w:szCs w:val="14"/>
              </w:rPr>
            </w:pPr>
            <w:r>
              <w:rPr>
                <w:color w:val="000000"/>
                <w:sz w:val="14"/>
                <w:szCs w:val="14"/>
              </w:rPr>
              <w:t>Damaged or Faulty Equipment</w:t>
            </w:r>
          </w:p>
          <w:p>
            <w:pPr>
              <w:pStyle w:val="Normal"/>
              <w:widowControl/>
              <w:rPr>
                <w:color w:val="000000"/>
                <w:sz w:val="14"/>
                <w:szCs w:val="14"/>
              </w:rPr>
            </w:pPr>
            <w:r>
              <w:rPr>
                <w:color w:val="000000"/>
                <w:sz w:val="14"/>
                <w:szCs w:val="14"/>
              </w:rPr>
            </w:r>
          </w:p>
          <w:p>
            <w:pPr>
              <w:pStyle w:val="Normal"/>
              <w:widowControl/>
              <w:rPr>
                <w:b w:val="false"/>
                <w:bCs w:val="false"/>
                <w:sz w:val="14"/>
                <w:szCs w:val="14"/>
              </w:rPr>
            </w:pPr>
            <w:r>
              <w:rPr>
                <w:b w:val="false"/>
                <w:bCs w:val="false"/>
                <w:sz w:val="14"/>
                <w:szCs w:val="14"/>
              </w:rPr>
              <w:t>Trip/fall onto sharp objects: bigger branches/stones</w:t>
            </w:r>
          </w:p>
          <w:p>
            <w:pPr>
              <w:pStyle w:val="Normal"/>
              <w:widowControl/>
              <w:rPr>
                <w:b w:val="false"/>
                <w:bCs w:val="false"/>
                <w:sz w:val="14"/>
                <w:szCs w:val="14"/>
              </w:rPr>
            </w:pPr>
            <w:r>
              <w:rPr>
                <w:b w:val="false"/>
                <w:bCs w:val="false"/>
                <w:sz w:val="14"/>
                <w:szCs w:val="14"/>
              </w:rPr>
              <w:t>Vegetation</w:t>
            </w:r>
          </w:p>
        </w:tc>
        <w:tc>
          <w:tcPr>
            <w:tcW w:w="2210" w:type="dxa"/>
            <w:tcBorders>
              <w:start w:val="single" w:sz="4" w:space="0" w:color="000000"/>
              <w:bottom w:val="single" w:sz="4" w:space="0" w:color="000000"/>
            </w:tcBorders>
          </w:tcPr>
          <w:p>
            <w:pPr>
              <w:pStyle w:val="Normal"/>
              <w:widowControl/>
              <w:rPr>
                <w:sz w:val="14"/>
                <w:szCs w:val="14"/>
              </w:rPr>
            </w:pPr>
            <w:r>
              <w:rPr>
                <w:b w:val="false"/>
                <w:bCs w:val="false"/>
                <w:sz w:val="14"/>
                <w:szCs w:val="14"/>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830" w:type="dxa"/>
            <w:tcBorders>
              <w:start w:val="single" w:sz="4" w:space="0" w:color="000000"/>
              <w:bottom w:val="single" w:sz="4" w:space="0" w:color="000000"/>
            </w:tcBorders>
          </w:tcPr>
          <w:p>
            <w:pPr>
              <w:pStyle w:val="Normal"/>
              <w:widowControl/>
              <w:rPr>
                <w:color w:val="000000"/>
                <w:sz w:val="14"/>
                <w:szCs w:val="14"/>
              </w:rPr>
            </w:pPr>
            <w:r>
              <w:rPr>
                <w:color w:val="000000"/>
                <w:sz w:val="14"/>
                <w:szCs w:val="14"/>
              </w:rPr>
              <w:t>Site Manager to undertake weekly visual check of course equipment.</w:t>
            </w:r>
          </w:p>
          <w:p>
            <w:pPr>
              <w:pStyle w:val="Normal"/>
              <w:widowControl/>
              <w:rPr>
                <w:color w:val="000000"/>
                <w:sz w:val="14"/>
                <w:szCs w:val="14"/>
              </w:rPr>
            </w:pPr>
            <w:r>
              <w:rPr>
                <w:color w:val="000000"/>
                <w:sz w:val="14"/>
                <w:szCs w:val="14"/>
              </w:rPr>
              <w:t>Course to be checked by LinC before activity commences</w:t>
            </w:r>
          </w:p>
          <w:p>
            <w:pPr>
              <w:pStyle w:val="Normal"/>
              <w:widowControl/>
              <w:rPr>
                <w:color w:val="000000"/>
                <w:sz w:val="14"/>
                <w:szCs w:val="14"/>
              </w:rPr>
            </w:pPr>
            <w:r>
              <w:rPr>
                <w:color w:val="000000"/>
                <w:sz w:val="14"/>
                <w:szCs w:val="14"/>
              </w:rPr>
              <w:t>Helmets to be cleaned as required, following manufacturers recommendations. No detergents.</w:t>
            </w:r>
          </w:p>
          <w:p>
            <w:pPr>
              <w:pStyle w:val="Normal"/>
              <w:widowControl/>
              <w:rPr>
                <w:color w:val="000000"/>
                <w:sz w:val="14"/>
                <w:szCs w:val="14"/>
              </w:rPr>
            </w:pPr>
            <w:r>
              <w:rPr/>
            </w:r>
          </w:p>
          <w:p>
            <w:pPr>
              <w:pStyle w:val="Normal"/>
              <w:widowControl/>
              <w:rPr>
                <w:color w:val="000000"/>
                <w:sz w:val="14"/>
                <w:szCs w:val="14"/>
              </w:rPr>
            </w:pPr>
            <w:r>
              <w:rPr>
                <w:color w:val="000000"/>
                <w:sz w:val="14"/>
                <w:szCs w:val="14"/>
              </w:rPr>
              <w:t>Nettles and other irritant plants etc to be removed</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Collision with trees</w:t>
            </w:r>
          </w:p>
          <w:p>
            <w:pPr>
              <w:pStyle w:val="Normal"/>
              <w:widowControl/>
              <w:rPr>
                <w:b w:val="false"/>
                <w:bCs w:val="false"/>
                <w:sz w:val="14"/>
                <w:szCs w:val="14"/>
              </w:rPr>
            </w:pPr>
            <w:r>
              <w:rPr>
                <w:b w:val="false"/>
                <w:bCs w:val="false"/>
                <w:sz w:val="14"/>
                <w:szCs w:val="14"/>
              </w:rPr>
              <w:t>Specific obstacles</w:t>
            </w:r>
          </w:p>
          <w:p>
            <w:pPr>
              <w:pStyle w:val="Normal"/>
              <w:widowControl/>
              <w:rPr>
                <w:b w:val="false"/>
                <w:bCs w:val="false"/>
                <w:sz w:val="14"/>
                <w:szCs w:val="14"/>
              </w:rPr>
            </w:pPr>
            <w:r>
              <w:rPr/>
            </w:r>
          </w:p>
        </w:tc>
        <w:tc>
          <w:tcPr>
            <w:tcW w:w="2210" w:type="dxa"/>
            <w:tcBorders>
              <w:start w:val="single" w:sz="4" w:space="0" w:color="000000"/>
              <w:bottom w:val="single" w:sz="4" w:space="0" w:color="000000"/>
            </w:tcBorders>
          </w:tcPr>
          <w:p>
            <w:pPr>
              <w:pStyle w:val="Normal"/>
              <w:widowControl/>
              <w:rPr>
                <w:sz w:val="14"/>
                <w:szCs w:val="14"/>
              </w:rPr>
            </w:pPr>
            <w:r>
              <w:rPr>
                <w:sz w:val="14"/>
                <w:szCs w:val="14"/>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830"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 xml:space="preserve">Briefing given by LinC prior to activity starting regarding caution when moving around course, no running, peer support. </w:t>
            </w:r>
          </w:p>
          <w:p>
            <w:pPr>
              <w:pStyle w:val="Normal"/>
              <w:widowControl/>
              <w:rPr>
                <w:b w:val="false"/>
                <w:bCs w:val="false"/>
                <w:sz w:val="14"/>
                <w:szCs w:val="14"/>
              </w:rPr>
            </w:pPr>
            <w:r>
              <w:rPr>
                <w:b w:val="false"/>
                <w:bCs w:val="false"/>
                <w:sz w:val="14"/>
                <w:szCs w:val="14"/>
              </w:rPr>
              <w:t>Suitable helmets to be worn.  Fittings to be checked by LinC</w:t>
            </w:r>
          </w:p>
          <w:p>
            <w:pPr>
              <w:pStyle w:val="Normal"/>
              <w:widowControl/>
              <w:rPr>
                <w:b w:val="false"/>
                <w:bCs w:val="false"/>
                <w:sz w:val="14"/>
                <w:szCs w:val="14"/>
              </w:rPr>
            </w:pPr>
            <w:r>
              <w:rPr>
                <w:b w:val="false"/>
                <w:bCs w:val="false"/>
                <w:sz w:val="14"/>
                <w:szCs w:val="14"/>
              </w:rPr>
              <w:t>Adequate support for nervous or younger participants.</w:t>
            </w:r>
          </w:p>
          <w:p>
            <w:pPr>
              <w:pStyle w:val="Normal"/>
              <w:widowControl/>
              <w:rPr>
                <w:b w:val="false"/>
                <w:bCs w:val="false"/>
                <w:sz w:val="14"/>
                <w:szCs w:val="14"/>
              </w:rPr>
            </w:pPr>
            <w:r>
              <w:rPr>
                <w:b w:val="false"/>
                <w:bCs w:val="false"/>
                <w:sz w:val="14"/>
                <w:szCs w:val="14"/>
              </w:rPr>
              <w:t>Participant told to sit down at top of slide. LinC to position themselves at start/end course so close to slide.</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Entanglement in course equipment</w:t>
            </w:r>
          </w:p>
        </w:tc>
        <w:tc>
          <w:tcPr>
            <w:tcW w:w="2210" w:type="dxa"/>
            <w:tcBorders>
              <w:start w:val="single" w:sz="4" w:space="0" w:color="000000"/>
              <w:bottom w:val="single" w:sz="4" w:space="0" w:color="000000"/>
            </w:tcBorders>
          </w:tcPr>
          <w:p>
            <w:pPr>
              <w:pStyle w:val="Normal"/>
              <w:widowControl/>
              <w:rPr>
                <w:sz w:val="14"/>
                <w:szCs w:val="14"/>
              </w:rPr>
            </w:pPr>
            <w:r>
              <w:rPr>
                <w:sz w:val="14"/>
                <w:szCs w:val="14"/>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830" w:type="dxa"/>
            <w:tcBorders>
              <w:start w:val="single" w:sz="4" w:space="0" w:color="000000"/>
              <w:bottom w:val="single" w:sz="4" w:space="0" w:color="000000"/>
            </w:tcBorders>
          </w:tcPr>
          <w:p>
            <w:pPr>
              <w:pStyle w:val="Normal"/>
              <w:widowControl/>
              <w:rPr>
                <w:sz w:val="14"/>
                <w:szCs w:val="14"/>
              </w:rPr>
            </w:pPr>
            <w:r>
              <w:rPr>
                <w:sz w:val="14"/>
                <w:szCs w:val="14"/>
              </w:rPr>
              <w:t>Briefing to include removal of jewellery (rings/necklaces/piercings)</w:t>
            </w:r>
          </w:p>
          <w:p>
            <w:pPr>
              <w:pStyle w:val="Normal"/>
              <w:widowControl/>
              <w:rPr>
                <w:sz w:val="14"/>
                <w:szCs w:val="14"/>
              </w:rPr>
            </w:pPr>
            <w:r>
              <w:rPr>
                <w:sz w:val="14"/>
                <w:szCs w:val="14"/>
              </w:rPr>
              <w:t>LinC to check suitable clothing is worn. Flowing sleeves/scarves etc to be removed or tucked into clothing</w:t>
            </w:r>
          </w:p>
          <w:p>
            <w:pPr>
              <w:pStyle w:val="Normal"/>
              <w:widowControl/>
              <w:rPr>
                <w:sz w:val="14"/>
                <w:szCs w:val="14"/>
              </w:rPr>
            </w:pPr>
            <w:r>
              <w:rPr>
                <w:sz w:val="14"/>
                <w:szCs w:val="14"/>
              </w:rPr>
              <w:t>No overtaking on the course.</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sz w:val="14"/>
                <w:szCs w:val="14"/>
              </w:rPr>
            </w:pPr>
            <w:r>
              <w:rPr>
                <w:sz w:val="14"/>
                <w:szCs w:val="14"/>
              </w:rPr>
              <w:t>Rope burns</w:t>
            </w:r>
          </w:p>
        </w:tc>
        <w:tc>
          <w:tcPr>
            <w:tcW w:w="2210" w:type="dxa"/>
            <w:tcBorders>
              <w:start w:val="single" w:sz="4" w:space="0" w:color="000000"/>
              <w:bottom w:val="single" w:sz="4" w:space="0" w:color="000000"/>
            </w:tcBorders>
          </w:tcPr>
          <w:p>
            <w:pPr>
              <w:pStyle w:val="Normal"/>
              <w:widowControl/>
              <w:rPr>
                <w:sz w:val="14"/>
                <w:szCs w:val="14"/>
              </w:rPr>
            </w:pPr>
            <w:r>
              <w:rPr>
                <w:b w:val="false"/>
                <w:bCs w:val="false"/>
                <w:sz w:val="14"/>
                <w:szCs w:val="14"/>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830"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Briefing from LinC re use of ropes, advise to progress slowly through the course. Participants advised to take a break if hands hurting</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Weather</w:t>
            </w:r>
          </w:p>
        </w:tc>
        <w:tc>
          <w:tcPr>
            <w:tcW w:w="2210" w:type="dxa"/>
            <w:tcBorders>
              <w:start w:val="single" w:sz="4" w:space="0" w:color="000000"/>
              <w:bottom w:val="single" w:sz="4" w:space="0" w:color="000000"/>
            </w:tcBorders>
          </w:tcPr>
          <w:p>
            <w:pPr>
              <w:pStyle w:val="Normal"/>
              <w:widowControl/>
              <w:rPr>
                <w:sz w:val="14"/>
                <w:szCs w:val="14"/>
              </w:rPr>
            </w:pPr>
            <w:r>
              <w:rPr>
                <w:b w:val="false"/>
                <w:bCs w:val="false"/>
                <w:sz w:val="14"/>
                <w:szCs w:val="14"/>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830" w:type="dxa"/>
            <w:tcBorders>
              <w:start w:val="single" w:sz="4" w:space="0" w:color="000000"/>
              <w:bottom w:val="single" w:sz="4" w:space="0" w:color="000000"/>
            </w:tcBorders>
          </w:tcPr>
          <w:p>
            <w:pPr>
              <w:pStyle w:val="Normal"/>
              <w:widowControl/>
              <w:rPr>
                <w:sz w:val="14"/>
                <w:szCs w:val="14"/>
              </w:rPr>
            </w:pPr>
            <w:r>
              <w:rPr>
                <w:b w:val="false"/>
                <w:bCs w:val="false"/>
                <w:sz w:val="14"/>
                <w:szCs w:val="14"/>
              </w:rPr>
              <w:t>Duty Manager in discussion with LinC to decide if weather is appropriate</w:t>
            </w:r>
          </w:p>
          <w:p>
            <w:pPr>
              <w:pStyle w:val="Normal"/>
              <w:widowControl/>
              <w:rPr>
                <w:b w:val="false"/>
                <w:bCs w:val="false"/>
              </w:rPr>
            </w:pPr>
            <w:r>
              <w:rPr>
                <w:b w:val="false"/>
                <w:bCs w:val="false"/>
              </w:rPr>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sz w:val="14"/>
                <w:szCs w:val="14"/>
              </w:rPr>
            </w:pPr>
            <w:r>
              <w:rPr>
                <w:b w:val="false"/>
                <w:bCs w:val="false"/>
                <w:sz w:val="14"/>
                <w:szCs w:val="14"/>
              </w:rPr>
              <w:t>Misuse of course/inappropriate behaviour</w:t>
            </w:r>
          </w:p>
        </w:tc>
        <w:tc>
          <w:tcPr>
            <w:tcW w:w="2210" w:type="dxa"/>
            <w:tcBorders>
              <w:start w:val="single" w:sz="4" w:space="0" w:color="000000"/>
              <w:bottom w:val="single" w:sz="4" w:space="0" w:color="000000"/>
            </w:tcBorders>
          </w:tcPr>
          <w:p>
            <w:pPr>
              <w:pStyle w:val="Normal"/>
              <w:widowControl/>
              <w:rPr>
                <w:sz w:val="14"/>
                <w:szCs w:val="14"/>
              </w:rPr>
            </w:pPr>
            <w:r>
              <w:rPr>
                <w:b w:val="false"/>
                <w:bCs w:val="false"/>
                <w:sz w:val="14"/>
                <w:szCs w:val="14"/>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830" w:type="dxa"/>
            <w:tcBorders>
              <w:start w:val="single" w:sz="4" w:space="0" w:color="000000"/>
              <w:bottom w:val="single" w:sz="4" w:space="0" w:color="000000"/>
            </w:tcBorders>
          </w:tcPr>
          <w:p>
            <w:pPr>
              <w:pStyle w:val="Normal"/>
              <w:widowControl/>
              <w:rPr>
                <w:sz w:val="14"/>
                <w:szCs w:val="14"/>
              </w:rPr>
            </w:pPr>
            <w:r>
              <w:rPr>
                <w:b w:val="false"/>
                <w:bCs w:val="false"/>
                <w:sz w:val="14"/>
                <w:szCs w:val="14"/>
              </w:rPr>
              <w:t>Adequate leader/young person ratios. Briefing from LinC prior to activity regarding behaviour standards</w:t>
            </w:r>
          </w:p>
          <w:p>
            <w:pPr>
              <w:pStyle w:val="Normal"/>
              <w:widowControl/>
              <w:rPr>
                <w:sz w:val="14"/>
                <w:szCs w:val="14"/>
              </w:rPr>
            </w:pPr>
            <w:r>
              <w:rPr>
                <w:b w:val="false"/>
                <w:bCs w:val="false"/>
                <w:sz w:val="14"/>
                <w:szCs w:val="14"/>
              </w:rPr>
              <w:t>Group Leaders to help maintain discipline. Lack of leader support may mean session is terminated.</w:t>
            </w:r>
          </w:p>
          <w:p>
            <w:pPr>
              <w:pStyle w:val="Normal"/>
              <w:widowControl/>
              <w:rPr>
                <w:sz w:val="14"/>
                <w:szCs w:val="14"/>
              </w:rPr>
            </w:pPr>
            <w:r>
              <w:rPr>
                <w:b w:val="false"/>
                <w:bCs w:val="false"/>
                <w:sz w:val="14"/>
                <w:szCs w:val="14"/>
              </w:rPr>
              <w:t>Persistent indiscipline may result in the young person being excluded or the session being terminated</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bl>
    <w:p>
      <w:pPr>
        <w:pStyle w:val="Normal"/>
        <w:bidi w:val="0"/>
        <w:jc w:val="start"/>
        <w:rPr>
          <w:rFonts w:ascii="Nunito Sans" w:hAnsi="Nunito Sans"/>
        </w:rPr>
      </w:pPr>
      <w:r>
        <w:rPr>
          <w:rFonts w:ascii="Nunito Sans" w:hAnsi="Nunito Sans"/>
        </w:rPr>
      </w:r>
    </w:p>
    <w:p>
      <w:pPr>
        <w:pStyle w:val="NormalWeb"/>
        <w:spacing w:before="280" w:after="280"/>
        <w:rPr>
          <w:sz w:val="14"/>
          <w:szCs w:val="14"/>
        </w:rPr>
      </w:pPr>
      <w:r>
        <w:rPr>
          <w:sz w:val="14"/>
          <w:szCs w:val="14"/>
        </w:rPr>
        <w:t xml:space="preserve">Don‘t forget, as part of your programme planning, you should have contingency activities in reserve just in case you can’t do what was planned or you need to stop half way through. Make sure this is shared with those involved, so everyone knows how to respond. You should have risk assessed contingency activities prior to them taking place and communicated key information to those involved as with all activities. </w:t>
      </w:r>
    </w:p>
    <w:sectPr>
      <w:footerReference w:type="default" r:id="rId3"/>
      <w:type w:val="nextPage"/>
      <w:pgSz w:orient="landscape" w:w="16838" w:h="11906"/>
      <w:pgMar w:left="1134" w:right="1134" w:gutter="0" w:header="0" w:top="1134" w:footer="1134" w:bottom="170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Nunito San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PTO</w:t>
    </w:r>
  </w:p>
</w:ft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09"/>
        <w:tab w:val="center" w:pos="7285" w:leader="none"/>
        <w:tab w:val="right" w:pos="14570" w:leader="none"/>
      </w:tabs>
    </w:pPr>
    <w:rPr/>
  </w:style>
  <w:style w:type="paragraph" w:styleId="Footer">
    <w:name w:val="Footer"/>
    <w:basedOn w:val="HeaderandFooter"/>
    <w:pPr>
      <w:suppressLineNumbers/>
    </w:pPr>
    <w:rPr/>
  </w:style>
  <w:style w:type="paragraph" w:styleId="NormalWeb">
    <w:name w:val="Normal (Web)"/>
    <w:basedOn w:val="Normal"/>
    <w:qFormat/>
    <w:pPr>
      <w:widowControl/>
      <w:spacing w:beforeAutospacing="1" w:afterAutospacing="1"/>
    </w:pPr>
    <w:rPr>
      <w:rFonts w:ascii="Times New Roman" w:hAnsi="Times New Roman" w:eastAsia="Times New Roman" w:cs="Times New Roman"/>
      <w:sz w:val="24"/>
      <w:szCs w:val="24"/>
      <w:lang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2672</TotalTime>
  <Application>LibreOffice/7.6.5.2$Windows_X86_64 LibreOffice_project/38d5f62f85355c192ef5f1dd47c5c0c0c6d6598b</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2026-04-20T14:56:52Z</dcterms:created>
  <dc:creator/>
  <dc:description/>
  <dc:language>en-GB</dc:language>
  <cp:lastModifiedBy/>
  <dcterms:modified xsi:type="dcterms:W3CDTF">2026-05-01T09:55:51Z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